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06B1" w14:textId="77777777" w:rsidR="009D14F1" w:rsidRDefault="006F3960" w:rsidP="00120279">
      <w:pPr>
        <w:spacing w:after="0" w:line="264" w:lineRule="auto"/>
        <w:ind w:left="0" w:right="48" w:firstLine="0"/>
        <w:jc w:val="right"/>
      </w:pPr>
      <w:bookmarkStart w:id="0" w:name="_GoBack"/>
      <w:bookmarkEnd w:id="0"/>
      <w:r>
        <w:rPr>
          <w:color w:val="0D0D0D"/>
        </w:rPr>
        <w:t>Č. j.:</w:t>
      </w:r>
      <w:r w:rsidR="00557B3B">
        <w:rPr>
          <w:color w:val="0D0D0D"/>
        </w:rPr>
        <w:t>(…)</w:t>
      </w:r>
      <w:r>
        <w:t xml:space="preserve">           </w:t>
      </w:r>
    </w:p>
    <w:p w14:paraId="2845756A" w14:textId="77777777" w:rsidR="00120279" w:rsidRDefault="00120279" w:rsidP="00120279">
      <w:pPr>
        <w:pStyle w:val="Nadpis1"/>
        <w:spacing w:line="264" w:lineRule="auto"/>
        <w:ind w:left="99" w:right="107"/>
      </w:pPr>
    </w:p>
    <w:p w14:paraId="0BB6376E" w14:textId="77777777" w:rsidR="009D14F1" w:rsidRDefault="006F3960" w:rsidP="00226F65">
      <w:pPr>
        <w:pStyle w:val="Nadpis1"/>
        <w:spacing w:line="264" w:lineRule="auto"/>
        <w:ind w:left="0" w:right="-2" w:firstLine="0"/>
      </w:pPr>
      <w:r>
        <w:t xml:space="preserve">Rozhodnutí </w:t>
      </w:r>
    </w:p>
    <w:p w14:paraId="68793B38" w14:textId="77777777" w:rsidR="009D14F1" w:rsidRDefault="006F3960" w:rsidP="00226F65">
      <w:pPr>
        <w:spacing w:after="0" w:line="264" w:lineRule="auto"/>
        <w:ind w:left="0" w:firstLine="0"/>
        <w:jc w:val="center"/>
      </w:pPr>
      <w:r>
        <w:rPr>
          <w:b/>
        </w:rPr>
        <w:t>o poskytnutí institucionální podpory na dlouhodobý koncepční rozvoj</w:t>
      </w:r>
    </w:p>
    <w:p w14:paraId="0DE1BF65" w14:textId="77777777" w:rsidR="00120279" w:rsidRDefault="00120279" w:rsidP="00120279">
      <w:pPr>
        <w:spacing w:after="0" w:line="264" w:lineRule="auto"/>
        <w:ind w:left="56" w:firstLine="0"/>
        <w:jc w:val="center"/>
        <w:rPr>
          <w:b/>
        </w:rPr>
      </w:pPr>
    </w:p>
    <w:p w14:paraId="28783652" w14:textId="77777777" w:rsidR="009D14F1" w:rsidRDefault="006F3960" w:rsidP="00120279">
      <w:pPr>
        <w:spacing w:after="0" w:line="264" w:lineRule="auto"/>
        <w:ind w:left="56" w:firstLine="0"/>
        <w:jc w:val="center"/>
      </w:pPr>
      <w:r>
        <w:rPr>
          <w:b/>
        </w:rPr>
        <w:t xml:space="preserve"> </w:t>
      </w:r>
    </w:p>
    <w:p w14:paraId="26C8BD36" w14:textId="77777777" w:rsidR="009D14F1" w:rsidRDefault="00557B3B" w:rsidP="00120279">
      <w:pPr>
        <w:spacing w:after="0" w:line="264" w:lineRule="auto"/>
        <w:ind w:left="-5" w:hanging="10"/>
        <w:jc w:val="left"/>
      </w:pPr>
      <w:r>
        <w:rPr>
          <w:b/>
        </w:rPr>
        <w:t>Karlovarský kraj</w:t>
      </w:r>
    </w:p>
    <w:p w14:paraId="7E0F76C9" w14:textId="77777777" w:rsidR="00557B3B" w:rsidRDefault="006F3960" w:rsidP="00120279">
      <w:pPr>
        <w:spacing w:after="0" w:line="264" w:lineRule="auto"/>
        <w:ind w:left="-5" w:right="3847" w:hanging="10"/>
        <w:jc w:val="left"/>
        <w:rPr>
          <w:b/>
        </w:rPr>
      </w:pPr>
      <w:r>
        <w:rPr>
          <w:b/>
        </w:rPr>
        <w:t>IČ</w:t>
      </w:r>
      <w:r w:rsidR="00557B3B">
        <w:rPr>
          <w:b/>
        </w:rPr>
        <w:t>O</w:t>
      </w:r>
      <w:r>
        <w:rPr>
          <w:b/>
        </w:rPr>
        <w:t xml:space="preserve">: </w:t>
      </w:r>
      <w:r w:rsidR="00557B3B">
        <w:rPr>
          <w:b/>
        </w:rPr>
        <w:t>70891168</w:t>
      </w:r>
    </w:p>
    <w:p w14:paraId="324D09BC" w14:textId="77777777" w:rsidR="009D14F1" w:rsidRDefault="006F3960" w:rsidP="00120279">
      <w:pPr>
        <w:spacing w:after="0" w:line="264" w:lineRule="auto"/>
        <w:ind w:left="-5" w:right="-2" w:hanging="10"/>
        <w:jc w:val="left"/>
        <w:rPr>
          <w:b/>
        </w:rPr>
      </w:pPr>
      <w:r>
        <w:rPr>
          <w:b/>
        </w:rPr>
        <w:t xml:space="preserve">se sídlem </w:t>
      </w:r>
      <w:r w:rsidR="00557B3B" w:rsidRPr="00557B3B">
        <w:rPr>
          <w:b/>
        </w:rPr>
        <w:t>Závodní 353/88, Dvory, 36006</w:t>
      </w:r>
      <w:r w:rsidR="00557B3B">
        <w:rPr>
          <w:b/>
        </w:rPr>
        <w:t xml:space="preserve"> K</w:t>
      </w:r>
      <w:r w:rsidR="00557B3B" w:rsidRPr="00557B3B">
        <w:rPr>
          <w:b/>
        </w:rPr>
        <w:t>arlovy Vary</w:t>
      </w:r>
    </w:p>
    <w:p w14:paraId="507B4FEE" w14:textId="77777777" w:rsidR="00120279" w:rsidRDefault="00120279" w:rsidP="00120279">
      <w:pPr>
        <w:spacing w:after="0" w:line="264" w:lineRule="auto"/>
        <w:ind w:left="-5" w:right="-2" w:hanging="10"/>
        <w:jc w:val="left"/>
      </w:pPr>
    </w:p>
    <w:p w14:paraId="25B6471D" w14:textId="77777777" w:rsidR="009D14F1" w:rsidRDefault="006F3960" w:rsidP="00120279">
      <w:pPr>
        <w:spacing w:after="0" w:line="264" w:lineRule="auto"/>
        <w:ind w:left="0" w:right="5" w:firstLine="0"/>
      </w:pPr>
      <w:r>
        <w:t>(dále jen „poskytovatel")</w:t>
      </w:r>
      <w:r>
        <w:rPr>
          <w:b/>
        </w:rPr>
        <w:t xml:space="preserve"> </w:t>
      </w:r>
    </w:p>
    <w:p w14:paraId="5CD2DB5B" w14:textId="77777777" w:rsidR="00120279" w:rsidRDefault="00120279" w:rsidP="00120279">
      <w:pPr>
        <w:spacing w:after="0" w:line="264" w:lineRule="auto"/>
        <w:ind w:left="0" w:right="5" w:firstLine="0"/>
      </w:pPr>
    </w:p>
    <w:p w14:paraId="20361843" w14:textId="77777777" w:rsidR="009D14F1" w:rsidRDefault="006F3960" w:rsidP="00120279">
      <w:pPr>
        <w:spacing w:after="0" w:line="264" w:lineRule="auto"/>
        <w:ind w:left="0" w:right="5" w:firstLine="0"/>
      </w:pPr>
      <w:r>
        <w:t xml:space="preserve">rozhodl podle § </w:t>
      </w:r>
      <w:r w:rsidR="00557B3B">
        <w:t>9</w:t>
      </w:r>
      <w:r>
        <w:t xml:space="preserve"> odst. </w:t>
      </w:r>
      <w:r w:rsidR="008302D1">
        <w:t>6</w:t>
      </w:r>
      <w:r>
        <w:t xml:space="preserve"> písm. a) zákona č. 130/2002 Sb., o podpoře výzkumu,</w:t>
      </w:r>
      <w:r w:rsidR="008302D1">
        <w:t xml:space="preserve"> </w:t>
      </w:r>
      <w:r>
        <w:t>experimentálního vývoje a inovací z veřejných prostředků a o změně některých souvisejících zákonů (zákon o podpoře výzkumu, experimentálního vývoje a inovací), ve znění pozdějších předpisů</w:t>
      </w:r>
      <w:r w:rsidR="004E0A7F">
        <w:t xml:space="preserve"> (dále jen „zákon“)</w:t>
      </w:r>
      <w:r>
        <w:t xml:space="preserve">, že </w:t>
      </w:r>
    </w:p>
    <w:p w14:paraId="564D92E3" w14:textId="77777777" w:rsidR="00120279" w:rsidRDefault="00120279" w:rsidP="00120279">
      <w:pPr>
        <w:spacing w:after="0" w:line="264" w:lineRule="auto"/>
        <w:ind w:left="0" w:right="-2" w:firstLine="0"/>
        <w:jc w:val="left"/>
        <w:rPr>
          <w:b/>
          <w:color w:val="0D0D0D"/>
        </w:rPr>
      </w:pPr>
    </w:p>
    <w:p w14:paraId="7908F26B" w14:textId="77777777" w:rsidR="008302D1" w:rsidRDefault="008302D1" w:rsidP="00120279">
      <w:pPr>
        <w:spacing w:after="0" w:line="264" w:lineRule="auto"/>
        <w:ind w:left="0" w:right="-2" w:firstLine="0"/>
        <w:jc w:val="left"/>
        <w:rPr>
          <w:b/>
          <w:color w:val="0D0D0D"/>
        </w:rPr>
      </w:pPr>
      <w:r>
        <w:rPr>
          <w:b/>
          <w:color w:val="0D0D0D"/>
        </w:rPr>
        <w:t xml:space="preserve">Institutu lázeňství a balneologie, </w:t>
      </w:r>
      <w:proofErr w:type="spellStart"/>
      <w:r>
        <w:rPr>
          <w:b/>
          <w:color w:val="0D0D0D"/>
        </w:rPr>
        <w:t>v.v.i</w:t>
      </w:r>
      <w:proofErr w:type="spellEnd"/>
      <w:r>
        <w:rPr>
          <w:b/>
          <w:color w:val="0D0D0D"/>
        </w:rPr>
        <w:t>.</w:t>
      </w:r>
      <w:r w:rsidR="006F3960">
        <w:rPr>
          <w:b/>
          <w:color w:val="0D0D0D"/>
        </w:rPr>
        <w:t xml:space="preserve">  </w:t>
      </w:r>
    </w:p>
    <w:p w14:paraId="6748D88C" w14:textId="77777777" w:rsidR="008302D1" w:rsidRDefault="006F3960" w:rsidP="00120279">
      <w:pPr>
        <w:spacing w:after="0" w:line="264" w:lineRule="auto"/>
        <w:ind w:left="0" w:right="-2" w:firstLine="0"/>
        <w:jc w:val="left"/>
        <w:rPr>
          <w:b/>
          <w:color w:val="0D0D0D"/>
        </w:rPr>
      </w:pPr>
      <w:r>
        <w:rPr>
          <w:b/>
          <w:color w:val="0D0D0D"/>
        </w:rPr>
        <w:t>IČ</w:t>
      </w:r>
      <w:r w:rsidR="008302D1">
        <w:rPr>
          <w:b/>
          <w:color w:val="0D0D0D"/>
        </w:rPr>
        <w:t>O</w:t>
      </w:r>
      <w:r>
        <w:rPr>
          <w:b/>
          <w:color w:val="0D0D0D"/>
        </w:rPr>
        <w:t>:</w:t>
      </w:r>
      <w:r w:rsidR="008302D1">
        <w:rPr>
          <w:b/>
          <w:color w:val="0D0D0D"/>
        </w:rPr>
        <w:t xml:space="preserve"> </w:t>
      </w:r>
      <w:r w:rsidR="008302D1" w:rsidRPr="008302D1">
        <w:rPr>
          <w:b/>
          <w:color w:val="0D0D0D"/>
        </w:rPr>
        <w:t>08122539</w:t>
      </w:r>
    </w:p>
    <w:p w14:paraId="70A85F6E" w14:textId="77777777" w:rsidR="009D14F1" w:rsidRDefault="006F3960" w:rsidP="00120279">
      <w:pPr>
        <w:spacing w:after="0" w:line="264" w:lineRule="auto"/>
        <w:ind w:left="0" w:right="-2" w:firstLine="0"/>
        <w:jc w:val="left"/>
      </w:pPr>
      <w:r>
        <w:rPr>
          <w:b/>
          <w:color w:val="0D0D0D"/>
        </w:rPr>
        <w:t xml:space="preserve">se sídlem </w:t>
      </w:r>
      <w:r w:rsidR="008302D1" w:rsidRPr="008302D1">
        <w:rPr>
          <w:b/>
          <w:color w:val="0D0D0D"/>
        </w:rPr>
        <w:t>nábřeží Jana Palacha 932/20, 36001 Karlovy Vary</w:t>
      </w:r>
    </w:p>
    <w:p w14:paraId="0661E05F" w14:textId="77777777" w:rsidR="00120279" w:rsidRDefault="00120279" w:rsidP="00120279">
      <w:pPr>
        <w:spacing w:after="0" w:line="264" w:lineRule="auto"/>
        <w:ind w:left="0" w:firstLine="0"/>
        <w:jc w:val="left"/>
        <w:rPr>
          <w:color w:val="0D0D0D"/>
        </w:rPr>
      </w:pPr>
    </w:p>
    <w:p w14:paraId="73E95514" w14:textId="77777777" w:rsidR="009D14F1" w:rsidRDefault="006F3960" w:rsidP="00120279">
      <w:pPr>
        <w:spacing w:after="0" w:line="264" w:lineRule="auto"/>
        <w:ind w:left="0" w:firstLine="0"/>
        <w:jc w:val="left"/>
      </w:pPr>
      <w:r>
        <w:rPr>
          <w:color w:val="0D0D0D"/>
        </w:rPr>
        <w:t xml:space="preserve">(dále jen „příjemce") </w:t>
      </w:r>
    </w:p>
    <w:p w14:paraId="5971E5C9" w14:textId="77777777" w:rsidR="00120279" w:rsidRDefault="00120279" w:rsidP="00120279">
      <w:pPr>
        <w:spacing w:after="0" w:line="264" w:lineRule="auto"/>
        <w:ind w:left="0" w:right="5" w:firstLine="0"/>
      </w:pPr>
    </w:p>
    <w:p w14:paraId="0189443D" w14:textId="77777777" w:rsidR="005A069E" w:rsidRDefault="006F3960" w:rsidP="00120279">
      <w:pPr>
        <w:spacing w:after="0" w:line="264" w:lineRule="auto"/>
        <w:ind w:left="0" w:right="5" w:firstLine="0"/>
      </w:pPr>
      <w:r>
        <w:t xml:space="preserve">bude </w:t>
      </w:r>
      <w:r w:rsidR="008302D1">
        <w:t xml:space="preserve">na základě zhodnocení jím dosažených výsledků, na </w:t>
      </w:r>
      <w:r w:rsidR="00F74E4A">
        <w:t>základě Dlouhodobé k</w:t>
      </w:r>
      <w:r w:rsidR="008302D1">
        <w:t>oncepc</w:t>
      </w:r>
      <w:r w:rsidR="00F74E4A">
        <w:t>e</w:t>
      </w:r>
      <w:r w:rsidR="008302D1">
        <w:t xml:space="preserve"> rozvoje</w:t>
      </w:r>
      <w:r w:rsidR="005A069E">
        <w:t xml:space="preserve"> Institutu lázeňství a balneologie, </w:t>
      </w:r>
      <w:proofErr w:type="spellStart"/>
      <w:r w:rsidR="005A069E">
        <w:t>v.v.i</w:t>
      </w:r>
      <w:proofErr w:type="spellEnd"/>
      <w:r w:rsidR="005A069E">
        <w:t xml:space="preserve">. na léta 2025 až 2029 a na základě usnesení Zastupitelstva Karlovarského kraje </w:t>
      </w:r>
      <w:r w:rsidR="00F74E4A">
        <w:t xml:space="preserve">č. ZK (…) </w:t>
      </w:r>
      <w:r w:rsidR="005A069E">
        <w:t>ze dne (…)</w:t>
      </w:r>
      <w:r w:rsidR="00F74E4A">
        <w:t xml:space="preserve"> </w:t>
      </w:r>
      <w:r w:rsidR="005A069E">
        <w:t>poskytnuta institucionální podpora takto:</w:t>
      </w:r>
    </w:p>
    <w:p w14:paraId="0A0B8113" w14:textId="77777777" w:rsidR="00120279" w:rsidRDefault="00120279" w:rsidP="00120279">
      <w:pPr>
        <w:spacing w:after="0" w:line="264" w:lineRule="auto"/>
        <w:ind w:left="0" w:right="5" w:firstLine="0"/>
      </w:pPr>
    </w:p>
    <w:p w14:paraId="7663701F" w14:textId="77777777" w:rsidR="00120279" w:rsidRDefault="00120279" w:rsidP="00120279">
      <w:pPr>
        <w:spacing w:after="0" w:line="264" w:lineRule="auto"/>
        <w:ind w:left="0" w:right="5" w:firstLine="0"/>
      </w:pPr>
    </w:p>
    <w:p w14:paraId="5FD13FC5" w14:textId="77777777" w:rsidR="009D14F1" w:rsidRDefault="006F3960" w:rsidP="00B40FF9">
      <w:pPr>
        <w:pStyle w:val="Nadpis1"/>
        <w:spacing w:line="264" w:lineRule="auto"/>
        <w:ind w:left="0" w:right="-2"/>
      </w:pPr>
      <w:r>
        <w:t xml:space="preserve">Článek 1  </w:t>
      </w:r>
    </w:p>
    <w:p w14:paraId="79885D60" w14:textId="77777777" w:rsidR="009D14F1" w:rsidRDefault="005A069E" w:rsidP="000B17A5">
      <w:pPr>
        <w:spacing w:after="0" w:line="264" w:lineRule="auto"/>
        <w:ind w:left="0" w:firstLine="0"/>
        <w:jc w:val="center"/>
        <w:rPr>
          <w:b/>
        </w:rPr>
      </w:pPr>
      <w:r>
        <w:rPr>
          <w:b/>
        </w:rPr>
        <w:t>Předmět a účel</w:t>
      </w:r>
      <w:r w:rsidR="006F3960">
        <w:rPr>
          <w:b/>
        </w:rPr>
        <w:t xml:space="preserve"> poskytnutí podpory</w:t>
      </w:r>
    </w:p>
    <w:p w14:paraId="7F7332E4" w14:textId="77777777" w:rsidR="00120279" w:rsidRDefault="00120279" w:rsidP="00120279">
      <w:pPr>
        <w:spacing w:after="0" w:line="264" w:lineRule="auto"/>
        <w:ind w:left="0" w:firstLine="0"/>
        <w:jc w:val="center"/>
      </w:pPr>
    </w:p>
    <w:p w14:paraId="01746153" w14:textId="15FACB56" w:rsidR="00F933D9" w:rsidRDefault="00BB6AE7" w:rsidP="00120279">
      <w:pPr>
        <w:numPr>
          <w:ilvl w:val="0"/>
          <w:numId w:val="1"/>
        </w:numPr>
        <w:spacing w:after="0" w:line="264" w:lineRule="auto"/>
        <w:ind w:left="567" w:right="5" w:hanging="567"/>
      </w:pPr>
      <w:r>
        <w:t>P</w:t>
      </w:r>
      <w:r w:rsidR="006F3960">
        <w:t>odpor</w:t>
      </w:r>
      <w:r>
        <w:t>a je poskytována</w:t>
      </w:r>
      <w:r w:rsidR="006F3960">
        <w:t xml:space="preserve"> na</w:t>
      </w:r>
      <w:r>
        <w:t xml:space="preserve"> dlouhodobý a systematický</w:t>
      </w:r>
      <w:r w:rsidR="006F3960">
        <w:t xml:space="preserve"> rozvoj výzkumné organizace na léta </w:t>
      </w:r>
      <w:proofErr w:type="gramStart"/>
      <w:r w:rsidR="006F3960">
        <w:t>202</w:t>
      </w:r>
      <w:r w:rsidR="00F933D9">
        <w:t>5</w:t>
      </w:r>
      <w:r w:rsidR="006F3960">
        <w:t xml:space="preserve"> - 202</w:t>
      </w:r>
      <w:r w:rsidR="00F933D9">
        <w:t>9</w:t>
      </w:r>
      <w:proofErr w:type="gramEnd"/>
      <w:r w:rsidR="006F3960">
        <w:t xml:space="preserve"> </w:t>
      </w:r>
      <w:r>
        <w:t xml:space="preserve">na základě </w:t>
      </w:r>
      <w:r w:rsidR="00464A3A">
        <w:t>Dlouhodob</w:t>
      </w:r>
      <w:r>
        <w:t>é</w:t>
      </w:r>
      <w:r w:rsidR="005A069E">
        <w:t xml:space="preserve"> </w:t>
      </w:r>
      <w:r w:rsidR="00464A3A">
        <w:t>k</w:t>
      </w:r>
      <w:r w:rsidR="005A069E">
        <w:t xml:space="preserve">oncepce rozvoje </w:t>
      </w:r>
      <w:r w:rsidR="00F933D9">
        <w:t xml:space="preserve">Institutu lázeňství </w:t>
      </w:r>
      <w:r w:rsidR="00A95E91">
        <w:br/>
      </w:r>
      <w:r w:rsidR="00F933D9">
        <w:t xml:space="preserve">a balneologie, </w:t>
      </w:r>
      <w:proofErr w:type="spellStart"/>
      <w:r w:rsidR="00F933D9">
        <w:t>v.v.i</w:t>
      </w:r>
      <w:proofErr w:type="spellEnd"/>
      <w:r w:rsidR="00F933D9">
        <w:t>.</w:t>
      </w:r>
      <w:r w:rsidR="009828C5">
        <w:t>,</w:t>
      </w:r>
      <w:r w:rsidR="00F933D9">
        <w:t xml:space="preserve"> na</w:t>
      </w:r>
      <w:r w:rsidR="00464A3A">
        <w:t xml:space="preserve"> období</w:t>
      </w:r>
      <w:r w:rsidR="00F933D9">
        <w:t xml:space="preserve"> l</w:t>
      </w:r>
      <w:r w:rsidR="00464A3A">
        <w:t>e</w:t>
      </w:r>
      <w:r w:rsidR="00F933D9">
        <w:t xml:space="preserve">t 2025 až 2029 (dále jen „koncepce“). </w:t>
      </w:r>
    </w:p>
    <w:p w14:paraId="68C65071" w14:textId="77777777" w:rsidR="005A069E" w:rsidRDefault="00BB6AE7" w:rsidP="00120279">
      <w:pPr>
        <w:numPr>
          <w:ilvl w:val="0"/>
          <w:numId w:val="1"/>
        </w:numPr>
        <w:spacing w:after="0" w:line="264" w:lineRule="auto"/>
        <w:ind w:left="567" w:right="5" w:hanging="567"/>
      </w:pPr>
      <w:r>
        <w:t>K</w:t>
      </w:r>
      <w:r w:rsidR="005A069E">
        <w:t>oncepce</w:t>
      </w:r>
      <w:r>
        <w:t xml:space="preserve"> je přílohou </w:t>
      </w:r>
      <w:r w:rsidR="005A069E">
        <w:t>č. 1 tohoto rozhodnutí</w:t>
      </w:r>
      <w:r>
        <w:t xml:space="preserve"> a </w:t>
      </w:r>
      <w:r w:rsidR="005A069E">
        <w:t>tvoří jeho nedílnou součást.</w:t>
      </w:r>
    </w:p>
    <w:p w14:paraId="1B08EE19" w14:textId="77777777" w:rsidR="009D14F1" w:rsidRDefault="009D14F1" w:rsidP="00120279">
      <w:pPr>
        <w:spacing w:after="0" w:line="264" w:lineRule="auto"/>
        <w:ind w:left="432" w:firstLine="0"/>
        <w:jc w:val="left"/>
      </w:pPr>
    </w:p>
    <w:p w14:paraId="40A2FB5D" w14:textId="77777777" w:rsidR="009D14F1" w:rsidRDefault="006F3960" w:rsidP="00120279">
      <w:pPr>
        <w:spacing w:after="0" w:line="264" w:lineRule="auto"/>
        <w:ind w:left="72" w:firstLine="0"/>
        <w:jc w:val="left"/>
      </w:pPr>
      <w:r>
        <w:rPr>
          <w:b/>
        </w:rPr>
        <w:t xml:space="preserve"> </w:t>
      </w:r>
    </w:p>
    <w:p w14:paraId="47920729" w14:textId="77777777" w:rsidR="00120279" w:rsidRDefault="006F3960" w:rsidP="00B40FF9">
      <w:pPr>
        <w:pStyle w:val="Nadpis1"/>
        <w:spacing w:line="264" w:lineRule="auto"/>
        <w:ind w:left="0" w:right="-2"/>
      </w:pPr>
      <w:r>
        <w:t xml:space="preserve">Článek 2 </w:t>
      </w:r>
    </w:p>
    <w:p w14:paraId="48298AB5" w14:textId="77777777" w:rsidR="009D14F1" w:rsidRDefault="006F3960" w:rsidP="00B40FF9">
      <w:pPr>
        <w:pStyle w:val="Nadpis1"/>
        <w:spacing w:line="264" w:lineRule="auto"/>
        <w:ind w:left="0" w:right="-2"/>
      </w:pPr>
      <w:r>
        <w:t xml:space="preserve">Účel a užití podpory na rozvoj výzkumné organizace </w:t>
      </w:r>
    </w:p>
    <w:p w14:paraId="7CBB2149" w14:textId="77777777" w:rsidR="00120279" w:rsidRPr="00120279" w:rsidRDefault="00120279" w:rsidP="00120279">
      <w:pPr>
        <w:spacing w:line="264" w:lineRule="auto"/>
      </w:pPr>
    </w:p>
    <w:p w14:paraId="31F8DE10" w14:textId="77777777" w:rsidR="00656591" w:rsidRDefault="00656591" w:rsidP="00656591">
      <w:pPr>
        <w:numPr>
          <w:ilvl w:val="0"/>
          <w:numId w:val="2"/>
        </w:numPr>
        <w:spacing w:after="0" w:line="264" w:lineRule="auto"/>
        <w:ind w:left="567" w:right="5" w:hanging="567"/>
      </w:pPr>
      <w:r>
        <w:t>Činnost příjemce bude prováděna za podmínek tohoto rozhodnutí, v souladu se schválen</w:t>
      </w:r>
      <w:r w:rsidR="00CB7336">
        <w:t>ou</w:t>
      </w:r>
      <w:r>
        <w:t xml:space="preserve"> koncepc</w:t>
      </w:r>
      <w:r w:rsidR="00CB7336">
        <w:t>í</w:t>
      </w:r>
      <w:r>
        <w:t>.</w:t>
      </w:r>
    </w:p>
    <w:p w14:paraId="336BDF0F" w14:textId="77777777" w:rsidR="00656591" w:rsidRDefault="00656591" w:rsidP="00656591">
      <w:pPr>
        <w:numPr>
          <w:ilvl w:val="0"/>
          <w:numId w:val="2"/>
        </w:numPr>
        <w:spacing w:after="0" w:line="264" w:lineRule="auto"/>
        <w:ind w:left="567" w:right="5" w:hanging="567"/>
      </w:pPr>
      <w:r>
        <w:t>Institucionální podpora je poskytnuta na období od 1. 1. 2025 do 31. 12. 2029 s tím, že závěrečná zpráva o činnosti bude předložena poskytovateli do 30 dnů od konce období, na které byla podpora poskytnuta, následně bude schválena poskytovatelem a údaje o činnosti budou předány do informačního systému výzkumu, vývoje a inovací.</w:t>
      </w:r>
    </w:p>
    <w:p w14:paraId="4C5914B8" w14:textId="77777777" w:rsidR="00656591" w:rsidRDefault="00656591" w:rsidP="00656591">
      <w:pPr>
        <w:numPr>
          <w:ilvl w:val="0"/>
          <w:numId w:val="2"/>
        </w:numPr>
        <w:spacing w:after="0" w:line="264" w:lineRule="auto"/>
        <w:ind w:left="567" w:right="5" w:hanging="567"/>
      </w:pPr>
      <w:r>
        <w:t xml:space="preserve">Výše uznaných nákladů výzkumu a jejich členění v letech </w:t>
      </w:r>
      <w:proofErr w:type="gramStart"/>
      <w:r>
        <w:t>2025 – 2029</w:t>
      </w:r>
      <w:proofErr w:type="gramEnd"/>
      <w:r>
        <w:t xml:space="preserve"> jsou obsaženy v přiloženém schváleném návrhu koncepce.</w:t>
      </w:r>
    </w:p>
    <w:p w14:paraId="107CC19F" w14:textId="77777777" w:rsidR="00656591" w:rsidRDefault="00656591" w:rsidP="00656591">
      <w:pPr>
        <w:numPr>
          <w:ilvl w:val="0"/>
          <w:numId w:val="2"/>
        </w:numPr>
        <w:spacing w:after="0" w:line="264" w:lineRule="auto"/>
        <w:ind w:left="567" w:right="5" w:hanging="567"/>
      </w:pPr>
      <w:r>
        <w:t>Výše</w:t>
      </w:r>
      <w:r w:rsidR="0044265E">
        <w:t xml:space="preserve"> institucionální</w:t>
      </w:r>
      <w:r>
        <w:t xml:space="preserve"> podpory v jednotlivých letech:</w:t>
      </w:r>
    </w:p>
    <w:p w14:paraId="1D1C9E05" w14:textId="77777777" w:rsidR="0044265E" w:rsidRDefault="00656591" w:rsidP="00656591">
      <w:pPr>
        <w:tabs>
          <w:tab w:val="left" w:pos="5387"/>
        </w:tabs>
        <w:spacing w:after="0" w:line="264" w:lineRule="auto"/>
        <w:ind w:left="1418" w:right="5" w:hanging="851"/>
      </w:pPr>
      <w:r>
        <w:t xml:space="preserve">2025 </w:t>
      </w:r>
      <w:r>
        <w:tab/>
      </w:r>
      <w:r w:rsidR="00B65250">
        <w:t>6.500.</w:t>
      </w:r>
      <w:r>
        <w:t>000</w:t>
      </w:r>
      <w:r w:rsidR="00B65250">
        <w:t xml:space="preserve"> Kč</w:t>
      </w:r>
      <w:r>
        <w:tab/>
      </w:r>
    </w:p>
    <w:p w14:paraId="6DE6F490" w14:textId="77777777" w:rsidR="00656591" w:rsidRDefault="00656591" w:rsidP="00656591">
      <w:pPr>
        <w:tabs>
          <w:tab w:val="left" w:pos="5387"/>
        </w:tabs>
        <w:spacing w:after="0" w:line="264" w:lineRule="auto"/>
        <w:ind w:left="1418" w:right="5" w:hanging="851"/>
      </w:pPr>
      <w:r>
        <w:t xml:space="preserve">2026 </w:t>
      </w:r>
      <w:r>
        <w:tab/>
      </w:r>
      <w:r w:rsidR="00B65250">
        <w:t>6.500.000 Kč</w:t>
      </w:r>
      <w:r>
        <w:t xml:space="preserve"> </w:t>
      </w:r>
      <w:r>
        <w:tab/>
      </w:r>
    </w:p>
    <w:p w14:paraId="504134D8" w14:textId="77777777" w:rsidR="00656591" w:rsidRDefault="00656591" w:rsidP="00656591">
      <w:pPr>
        <w:tabs>
          <w:tab w:val="left" w:pos="5387"/>
        </w:tabs>
        <w:spacing w:after="0" w:line="264" w:lineRule="auto"/>
        <w:ind w:left="1418" w:right="5" w:hanging="851"/>
      </w:pPr>
      <w:r>
        <w:t xml:space="preserve">2027 </w:t>
      </w:r>
      <w:r>
        <w:tab/>
      </w:r>
      <w:r w:rsidR="00B65250">
        <w:t>6.500.000 Kč</w:t>
      </w:r>
      <w:r>
        <w:tab/>
      </w:r>
    </w:p>
    <w:p w14:paraId="7095181C" w14:textId="77777777" w:rsidR="00656591" w:rsidRDefault="00656591" w:rsidP="00656591">
      <w:pPr>
        <w:tabs>
          <w:tab w:val="left" w:pos="5387"/>
        </w:tabs>
        <w:spacing w:after="0" w:line="264" w:lineRule="auto"/>
        <w:ind w:left="1418" w:right="5" w:hanging="851"/>
      </w:pPr>
      <w:r>
        <w:t xml:space="preserve">2028 </w:t>
      </w:r>
      <w:r>
        <w:tab/>
      </w:r>
      <w:r w:rsidR="00B65250">
        <w:t>6.500.000 Kč</w:t>
      </w:r>
      <w:r>
        <w:tab/>
      </w:r>
    </w:p>
    <w:p w14:paraId="22CADB9E" w14:textId="77777777" w:rsidR="00656591" w:rsidRDefault="00656591" w:rsidP="00656591">
      <w:pPr>
        <w:tabs>
          <w:tab w:val="left" w:pos="5387"/>
        </w:tabs>
        <w:spacing w:after="0" w:line="264" w:lineRule="auto"/>
        <w:ind w:left="1418" w:right="5" w:hanging="851"/>
      </w:pPr>
      <w:r>
        <w:t xml:space="preserve">2029 </w:t>
      </w:r>
      <w:r>
        <w:tab/>
      </w:r>
      <w:r w:rsidR="00B65250">
        <w:t>6.500.000 Kč</w:t>
      </w:r>
      <w:r>
        <w:tab/>
      </w:r>
    </w:p>
    <w:p w14:paraId="5B57F02C" w14:textId="77777777" w:rsidR="00656591" w:rsidRDefault="00656591" w:rsidP="00656591">
      <w:pPr>
        <w:tabs>
          <w:tab w:val="left" w:pos="5387"/>
        </w:tabs>
        <w:spacing w:after="0" w:line="264" w:lineRule="auto"/>
        <w:ind w:left="1418" w:right="5" w:hanging="851"/>
      </w:pPr>
      <w:r>
        <w:lastRenderedPageBreak/>
        <w:t xml:space="preserve">Celkem </w:t>
      </w:r>
      <w:r w:rsidR="00385A0C">
        <w:t>32.500.</w:t>
      </w:r>
      <w:r>
        <w:t xml:space="preserve">000 </w:t>
      </w:r>
      <w:r w:rsidR="00385A0C">
        <w:t>Kč</w:t>
      </w:r>
      <w:r>
        <w:tab/>
      </w:r>
    </w:p>
    <w:p w14:paraId="57A5B587" w14:textId="77777777" w:rsidR="00656591" w:rsidRDefault="00656591" w:rsidP="00656591">
      <w:pPr>
        <w:numPr>
          <w:ilvl w:val="0"/>
          <w:numId w:val="2"/>
        </w:numPr>
        <w:spacing w:after="0" w:line="264" w:lineRule="auto"/>
        <w:ind w:left="567" w:right="5" w:hanging="567"/>
      </w:pPr>
      <w:r>
        <w:t>Termín a podmínky poskytnutí podpory:</w:t>
      </w:r>
    </w:p>
    <w:p w14:paraId="0B31EB51" w14:textId="58D1DBDF" w:rsidR="00656591" w:rsidRDefault="00656591" w:rsidP="00656591">
      <w:pPr>
        <w:spacing w:after="0" w:line="264" w:lineRule="auto"/>
        <w:ind w:left="851" w:right="5" w:hanging="284"/>
      </w:pPr>
      <w:r>
        <w:t xml:space="preserve">a) Poskytovatel poskytne podporu příjemci dle § 10 odst. 3 zákona </w:t>
      </w:r>
      <w:r w:rsidR="00DB23C5">
        <w:t xml:space="preserve">v měsíčních splátkách, </w:t>
      </w:r>
      <w:r>
        <w:t>vždy</w:t>
      </w:r>
      <w:r w:rsidR="00DB23C5">
        <w:t xml:space="preserve"> ve výši 1/12 (slovy: jedn</w:t>
      </w:r>
      <w:r w:rsidR="009828C5">
        <w:t>a</w:t>
      </w:r>
      <w:r w:rsidR="00DB23C5">
        <w:t xml:space="preserve"> dvanáctin</w:t>
      </w:r>
      <w:r w:rsidR="009828C5">
        <w:t>a</w:t>
      </w:r>
      <w:r w:rsidR="00DB23C5">
        <w:t>) podpory</w:t>
      </w:r>
      <w:r>
        <w:t xml:space="preserve"> na příslušný kalendářní rok dle výše uvedeného rozpisu v návaznosti na schválení rozpočtu Karlovarského kraje Zastupitelstvem Karlovarského kraje a dle zákona.</w:t>
      </w:r>
      <w:r w:rsidR="00DB23C5">
        <w:t xml:space="preserve"> Poskytovatel poskytne měsíční splátku podpory vždy do 7. dne v kalendářním měsíci, počínaje měsícem lednem 2025.</w:t>
      </w:r>
    </w:p>
    <w:p w14:paraId="151D2BCA" w14:textId="695FE5AD" w:rsidR="00656591" w:rsidRDefault="00656591" w:rsidP="00656591">
      <w:pPr>
        <w:spacing w:after="0" w:line="264" w:lineRule="auto"/>
        <w:ind w:left="851" w:right="5" w:hanging="284"/>
      </w:pPr>
      <w:r>
        <w:t>b) Dle § 10 odst. 1 zákona, nedojde-li v důsledku rozpočtového provizoria podle zvláštního právního předpisu (zákon č. 250/2000 Sb.) k regulaci čerpání rozpočtu, bude podpora pro rok 2025 poskytnuta příjemci za podmínky, že budou zařazeny</w:t>
      </w:r>
      <w:r w:rsidR="003C152A">
        <w:t xml:space="preserve"> veškeré</w:t>
      </w:r>
      <w:r>
        <w:t xml:space="preserve"> údaje do informačního systému výzkumu, vývoje a inovací v souladu </w:t>
      </w:r>
      <w:r w:rsidR="003C152A">
        <w:br/>
      </w:r>
      <w:r>
        <w:t>s § 30 a násl. zákona.</w:t>
      </w:r>
    </w:p>
    <w:p w14:paraId="1B25A20D" w14:textId="3934565F" w:rsidR="00B5233F" w:rsidRDefault="00656591" w:rsidP="00AF17AD">
      <w:pPr>
        <w:spacing w:after="0" w:line="264" w:lineRule="auto"/>
        <w:ind w:left="851" w:right="5" w:hanging="284"/>
      </w:pPr>
      <w:r>
        <w:t>c) Ve druhém roce a v dalších letech poskytování podpory, nedojde-li v důsledku rozpočtového provizoria</w:t>
      </w:r>
      <w:r w:rsidR="00AF17AD">
        <w:t xml:space="preserve"> </w:t>
      </w:r>
      <w:r>
        <w:t>podle zvláštního právního předpisu k regulaci čerpání rozpočtu, bude podpora poskytnuta za předpokladu, že budou splněny závazky příjemce</w:t>
      </w:r>
      <w:r w:rsidR="00AF17AD">
        <w:t xml:space="preserve"> vyplývající z rozhodnutí o poskytnutí institucionální podpory, a že budou zařazeny veškeré údaje dle zákona do informačního systému výzkumu, vývoje a inovací v souladu s § 30 a násl. zákona.</w:t>
      </w:r>
    </w:p>
    <w:p w14:paraId="0DC69302" w14:textId="77777777" w:rsidR="00AF17AD" w:rsidRDefault="00A81FC4" w:rsidP="003B3E1A">
      <w:pPr>
        <w:numPr>
          <w:ilvl w:val="0"/>
          <w:numId w:val="2"/>
        </w:numPr>
        <w:spacing w:after="0" w:line="264" w:lineRule="auto"/>
        <w:ind w:left="567" w:right="5" w:hanging="567"/>
      </w:pPr>
      <w:r>
        <w:t xml:space="preserve">Dle § 9 odst. 8 zákona je příjemce povinen písemně informovat poskytovatele o změnách, které nastaly v době vykonatelnosti rozhodnutí o poskytnutí institucionální podpory a které se týkají jeho právní osobnosti, údajů požadovaných pro prokázání způsobilosti nebo které by mohly mít vliv na vykonávání činnosti dle koncepce, a to </w:t>
      </w:r>
      <w:r>
        <w:br/>
        <w:t>do 7 kalendářních dnů ode dne, kdy se o takové skutečnosti příjemce dozvěděl.</w:t>
      </w:r>
    </w:p>
    <w:p w14:paraId="160275BE" w14:textId="77777777" w:rsidR="00A81FC4" w:rsidRDefault="006F3960" w:rsidP="006F3960">
      <w:pPr>
        <w:numPr>
          <w:ilvl w:val="0"/>
          <w:numId w:val="2"/>
        </w:numPr>
        <w:spacing w:after="0" w:line="264" w:lineRule="auto"/>
        <w:ind w:left="567" w:right="5" w:hanging="567"/>
      </w:pPr>
      <w:r>
        <w:t>Při použití institucionální podpory je příjemce povinen dodržovat podmínky stanovené zákonem a tímto rozhodnutím.</w:t>
      </w:r>
    </w:p>
    <w:p w14:paraId="776BAE78" w14:textId="77777777" w:rsidR="009D14F1" w:rsidRDefault="006F3960" w:rsidP="00656591">
      <w:pPr>
        <w:numPr>
          <w:ilvl w:val="0"/>
          <w:numId w:val="2"/>
        </w:numPr>
        <w:spacing w:after="0" w:line="264" w:lineRule="auto"/>
        <w:ind w:left="567" w:right="5" w:hanging="567"/>
      </w:pPr>
      <w:r>
        <w:t xml:space="preserve">Podpora na rozvoj výzkumné organizace není státní podporou ve smyslu čl. 107 odst. 1 Smlouvy o fungování Evropské unie. Podpora je určena výlučně k financování činností </w:t>
      </w:r>
      <w:proofErr w:type="spellStart"/>
      <w:r>
        <w:t>nehospodářské</w:t>
      </w:r>
      <w:proofErr w:type="spellEnd"/>
      <w:r>
        <w:t xml:space="preserve"> povahy. Příjemce je povinen s podporou na rozvoj výzkumné organizace nakládat v souladu s pravidly Evropské unie</w:t>
      </w:r>
      <w:r>
        <w:rPr>
          <w:vertAlign w:val="superscript"/>
        </w:rPr>
        <w:footnoteReference w:id="1"/>
      </w:r>
      <w:r>
        <w:t xml:space="preserve"> tak, aby nedošlo k narušení hospodářské soutěže. </w:t>
      </w:r>
    </w:p>
    <w:p w14:paraId="7911377D" w14:textId="77777777" w:rsidR="009D14F1" w:rsidRDefault="006F3960" w:rsidP="00656591">
      <w:pPr>
        <w:numPr>
          <w:ilvl w:val="0"/>
          <w:numId w:val="2"/>
        </w:numPr>
        <w:spacing w:after="0" w:line="264" w:lineRule="auto"/>
        <w:ind w:left="567" w:right="5" w:hanging="567"/>
      </w:pPr>
      <w:r>
        <w:t xml:space="preserve">Podpora na rozvoj výzkumné organizace se poskytuje na dlouhodobý koncepční rozvoj výzkumu, vývoje a inovaci příjemce. </w:t>
      </w:r>
    </w:p>
    <w:p w14:paraId="248AA708" w14:textId="77777777" w:rsidR="009D14F1" w:rsidRDefault="006F3960" w:rsidP="00656591">
      <w:pPr>
        <w:numPr>
          <w:ilvl w:val="0"/>
          <w:numId w:val="2"/>
        </w:numPr>
        <w:spacing w:after="0" w:line="264" w:lineRule="auto"/>
        <w:ind w:left="567" w:right="5" w:hanging="567"/>
      </w:pPr>
      <w:r>
        <w:t xml:space="preserve">Z podpory na rozvoj výzkumné organizace lze hradit způsobilé náklady na činnosti </w:t>
      </w:r>
      <w:r>
        <w:br/>
        <w:t xml:space="preserve">ve výzkumu, vývoji a inovacích prováděné příjemcem nebo v souvislosti s nimi. </w:t>
      </w:r>
    </w:p>
    <w:p w14:paraId="763691AE" w14:textId="77777777" w:rsidR="009D14F1" w:rsidRDefault="006F3960" w:rsidP="00656591">
      <w:pPr>
        <w:numPr>
          <w:ilvl w:val="0"/>
          <w:numId w:val="2"/>
        </w:numPr>
        <w:spacing w:after="0" w:line="264" w:lineRule="auto"/>
        <w:ind w:left="567" w:right="5" w:hanging="567"/>
      </w:pPr>
      <w:bookmarkStart w:id="1" w:name="_Ref175639779"/>
      <w:r>
        <w:t xml:space="preserve">Z podpory na rozvoj výzkumné organizace může příjemce hradit způsobilé náklady </w:t>
      </w:r>
      <w:r>
        <w:br/>
        <w:t>na činnosti ve výzkumu, vývoji a inovacích jiné výzkumné organizace, pokud jsou tyto činnosti předmětem spolupráce ve výzkumu, vývoji a inovacích mezi výzkumnými organizacemi na základě písemné smlouvy.</w:t>
      </w:r>
      <w:bookmarkEnd w:id="1"/>
      <w:r>
        <w:t xml:space="preserve"> </w:t>
      </w:r>
    </w:p>
    <w:p w14:paraId="267FADC2" w14:textId="77777777" w:rsidR="006F3960" w:rsidRDefault="006F3960" w:rsidP="00656591">
      <w:pPr>
        <w:numPr>
          <w:ilvl w:val="0"/>
          <w:numId w:val="2"/>
        </w:numPr>
        <w:spacing w:after="0" w:line="264" w:lineRule="auto"/>
        <w:ind w:left="567" w:right="5" w:hanging="567"/>
      </w:pPr>
      <w:bookmarkStart w:id="2" w:name="_Ref175638687"/>
      <w:r>
        <w:t>Způsobilými náklady ve výzkumu, vývoji a inovacích jsou náklady nebo výdaje</w:t>
      </w:r>
      <w:bookmarkEnd w:id="2"/>
      <w:r>
        <w:t xml:space="preserve"> </w:t>
      </w:r>
    </w:p>
    <w:p w14:paraId="0B39B489" w14:textId="77777777" w:rsidR="009D14F1" w:rsidRDefault="006F3960" w:rsidP="00A775E6">
      <w:pPr>
        <w:pStyle w:val="Odstavecseseznamem"/>
        <w:numPr>
          <w:ilvl w:val="1"/>
          <w:numId w:val="9"/>
        </w:numPr>
        <w:spacing w:after="0" w:line="264" w:lineRule="auto"/>
        <w:ind w:left="851" w:right="5" w:hanging="284"/>
      </w:pPr>
      <w:r>
        <w:t xml:space="preserve">osobní, </w:t>
      </w:r>
    </w:p>
    <w:p w14:paraId="3FCFA311" w14:textId="77777777" w:rsidR="009D14F1" w:rsidRDefault="006F3960" w:rsidP="00A775E6">
      <w:pPr>
        <w:numPr>
          <w:ilvl w:val="1"/>
          <w:numId w:val="9"/>
        </w:numPr>
        <w:spacing w:after="0" w:line="264" w:lineRule="auto"/>
        <w:ind w:left="851" w:right="5" w:hanging="284"/>
      </w:pPr>
      <w:r>
        <w:t xml:space="preserve">na pořízení hmotného nebo nehmotného majetku, </w:t>
      </w:r>
    </w:p>
    <w:p w14:paraId="1BAF9EF7" w14:textId="77777777" w:rsidR="009D14F1" w:rsidRDefault="006F3960" w:rsidP="00A775E6">
      <w:pPr>
        <w:numPr>
          <w:ilvl w:val="1"/>
          <w:numId w:val="9"/>
        </w:numPr>
        <w:spacing w:after="0" w:line="264" w:lineRule="auto"/>
        <w:ind w:left="851" w:right="5" w:hanging="284"/>
      </w:pPr>
      <w:r>
        <w:t xml:space="preserve">na služby, </w:t>
      </w:r>
    </w:p>
    <w:p w14:paraId="3B7230C3" w14:textId="77777777" w:rsidR="009D14F1" w:rsidRDefault="006F3960" w:rsidP="00A775E6">
      <w:pPr>
        <w:numPr>
          <w:ilvl w:val="1"/>
          <w:numId w:val="9"/>
        </w:numPr>
        <w:spacing w:after="0" w:line="264" w:lineRule="auto"/>
        <w:ind w:left="851" w:right="5" w:hanging="284"/>
      </w:pPr>
      <w:r>
        <w:t xml:space="preserve">na další provozní náklady nebo výdaje, </w:t>
      </w:r>
    </w:p>
    <w:p w14:paraId="26C58A2C" w14:textId="77777777" w:rsidR="009D14F1" w:rsidRDefault="006F3960" w:rsidP="00A775E6">
      <w:pPr>
        <w:spacing w:after="0" w:line="264" w:lineRule="auto"/>
        <w:ind w:left="567" w:right="5" w:firstLine="0"/>
      </w:pPr>
      <w:r>
        <w:t xml:space="preserve">vynaložené na výzkum, vývoj nebo inovace nebo v souvislosti s nimi, na šíření výsledků výzkumu, vývoje nebo inovací nebo na jejich ochranu podle zákonů upravujících ochranu výsledků autorské, vynálezecké nebo odborné činnosti. </w:t>
      </w:r>
    </w:p>
    <w:p w14:paraId="035291F4" w14:textId="77777777" w:rsidR="009D14F1" w:rsidRDefault="006F3960" w:rsidP="00656591">
      <w:pPr>
        <w:numPr>
          <w:ilvl w:val="0"/>
          <w:numId w:val="2"/>
        </w:numPr>
        <w:spacing w:after="0" w:line="264" w:lineRule="auto"/>
        <w:ind w:left="567" w:right="5" w:hanging="567"/>
      </w:pPr>
      <w:r>
        <w:t xml:space="preserve">Při pořízení hmotného nebo nehmotného majetku lze do způsobilých nákladů zahrnout pouze takovou část nákladů na jeho pořízení, která odpovídá jeho předpokládanému využití pro činnost ve výzkumu, vývoji a inovacích. </w:t>
      </w:r>
    </w:p>
    <w:p w14:paraId="11B5FA8F" w14:textId="1D97D46B" w:rsidR="009D14F1" w:rsidRDefault="006F3960" w:rsidP="00656591">
      <w:pPr>
        <w:numPr>
          <w:ilvl w:val="0"/>
          <w:numId w:val="2"/>
        </w:numPr>
        <w:spacing w:after="0" w:line="264" w:lineRule="auto"/>
        <w:ind w:left="567" w:right="5" w:hanging="567"/>
      </w:pPr>
      <w:r>
        <w:t xml:space="preserve">Podporu na rozvoj výzkumné organizace lze užít výlučně k úhradě způsobilých nákladů za období od 1. ledna do 31. prosince daného roku a nelze ji převést do roku </w:t>
      </w:r>
      <w:r>
        <w:lastRenderedPageBreak/>
        <w:t>následujícího, pokud zvláštní právní předpis nestanoví jinak</w:t>
      </w:r>
      <w:r>
        <w:rPr>
          <w:vertAlign w:val="superscript"/>
        </w:rPr>
        <w:footnoteReference w:id="2"/>
      </w:r>
      <w:r>
        <w:t xml:space="preserve">. O způsobilých nákladech podpory na rozvoj výzkumné organizace je příjemce povinen vést oddělenou účetní evidenci. Použití </w:t>
      </w:r>
      <w:r w:rsidR="001255EE">
        <w:t>podpory</w:t>
      </w:r>
      <w:r>
        <w:t xml:space="preserve"> musí být vedeno odděleně. Z účetní evidence použití </w:t>
      </w:r>
      <w:r w:rsidR="001255EE">
        <w:t>podpory</w:t>
      </w:r>
      <w:r>
        <w:t xml:space="preserve"> musí být patrné členění nákladů dle čl. 2 odst. </w:t>
      </w:r>
      <w:r w:rsidR="00A775E6">
        <w:fldChar w:fldCharType="begin"/>
      </w:r>
      <w:r w:rsidR="00A775E6">
        <w:instrText xml:space="preserve"> REF _Ref175638687 \r \h </w:instrText>
      </w:r>
      <w:r w:rsidR="00A775E6">
        <w:fldChar w:fldCharType="separate"/>
      </w:r>
      <w:r w:rsidR="003A4A84">
        <w:t>12</w:t>
      </w:r>
      <w:r w:rsidR="00A775E6">
        <w:fldChar w:fldCharType="end"/>
      </w:r>
      <w:r>
        <w:t xml:space="preserve"> tohoto rozhodnutí. Způsob této evidence stanoví na základě zákona č. 563/1991 Sb., o účetnictví, ve znění pozdějších předpisů, příjemce. </w:t>
      </w:r>
    </w:p>
    <w:p w14:paraId="0D5A0D48" w14:textId="77777777" w:rsidR="009D14F1" w:rsidRDefault="006F3960" w:rsidP="00656591">
      <w:pPr>
        <w:numPr>
          <w:ilvl w:val="0"/>
          <w:numId w:val="2"/>
        </w:numPr>
        <w:spacing w:after="0" w:line="264" w:lineRule="auto"/>
        <w:ind w:left="567" w:right="5" w:hanging="567"/>
      </w:pPr>
      <w:r>
        <w:t xml:space="preserve">Příjemce je povinen užít </w:t>
      </w:r>
      <w:r w:rsidR="003E12CC">
        <w:t>podporu</w:t>
      </w:r>
      <w:r>
        <w:t xml:space="preserve"> výhradně na účel, ke kterému mu byla poskytnuta, </w:t>
      </w:r>
      <w:r w:rsidR="00A775E6">
        <w:br/>
      </w:r>
      <w:r>
        <w:t xml:space="preserve">s prostředky </w:t>
      </w:r>
      <w:r w:rsidR="001255EE">
        <w:t>podpory</w:t>
      </w:r>
      <w:r>
        <w:t xml:space="preserve"> nakládat v souladu s právními předpisy a tímto rozhodnutím správně, efektivně, hospodárně a účelně. Vymezení těchto pojmů obsahuje § 2 zákona č. 320/2001 Sb., o finanční kontrole ve veřejné správě a o změně některých zákonů (zákon o finanční kontrole), ve znění pozdějších předpisů</w:t>
      </w:r>
      <w:r w:rsidR="003E1956">
        <w:t xml:space="preserve"> (dále jen „zákon o finanční kontrole“)</w:t>
      </w:r>
      <w:r>
        <w:t xml:space="preserve">. </w:t>
      </w:r>
    </w:p>
    <w:p w14:paraId="52BC38A7" w14:textId="77777777" w:rsidR="009D14F1" w:rsidRDefault="006F3960" w:rsidP="00656591">
      <w:pPr>
        <w:numPr>
          <w:ilvl w:val="0"/>
          <w:numId w:val="2"/>
        </w:numPr>
        <w:spacing w:after="0" w:line="264" w:lineRule="auto"/>
        <w:ind w:left="567" w:right="5" w:hanging="567"/>
      </w:pPr>
      <w:r>
        <w:t xml:space="preserve">Příjemce je povinen </w:t>
      </w:r>
      <w:r w:rsidR="001255EE">
        <w:t>podporu</w:t>
      </w:r>
      <w:r>
        <w:t xml:space="preserve"> finančně vypořádat (</w:t>
      </w:r>
      <w:r w:rsidR="001255EE">
        <w:t>podporu</w:t>
      </w:r>
      <w:r>
        <w:t xml:space="preserve"> zúčtovat) do 31. ledna následujícího roku v souladu s vyhláškou č. 367/2015 Sb., o zásadách a lhůtách finančního vypořádání vztahů se státním rozpočtem, státními finančními aktivy </w:t>
      </w:r>
      <w:r w:rsidR="00EB6046">
        <w:br/>
      </w:r>
      <w:r>
        <w:t xml:space="preserve">a Národním fondem (vyhláška o finančním vypořádání), ve znění pozdějších předpisů. </w:t>
      </w:r>
    </w:p>
    <w:p w14:paraId="19D65309" w14:textId="64BCC0A5" w:rsidR="009D14F1" w:rsidRDefault="006F3960" w:rsidP="00656591">
      <w:pPr>
        <w:numPr>
          <w:ilvl w:val="0"/>
          <w:numId w:val="2"/>
        </w:numPr>
        <w:spacing w:after="0" w:line="264" w:lineRule="auto"/>
        <w:ind w:left="567" w:right="5" w:hanging="567"/>
      </w:pPr>
      <w:r>
        <w:t>Příjemce je povinen předložit poskytovateli do 15. července 202</w:t>
      </w:r>
      <w:r w:rsidR="00E84A1A">
        <w:t>5</w:t>
      </w:r>
      <w:r>
        <w:t xml:space="preserve"> účetní evidenci průběžného čerpání </w:t>
      </w:r>
      <w:r w:rsidR="001255EE">
        <w:t>podpory</w:t>
      </w:r>
      <w:r>
        <w:t xml:space="preserve"> roku 202</w:t>
      </w:r>
      <w:r w:rsidR="00E84A1A">
        <w:t>5</w:t>
      </w:r>
      <w:r>
        <w:t xml:space="preserve"> k 30. červnu 202</w:t>
      </w:r>
      <w:r w:rsidR="00E84A1A">
        <w:t>5</w:t>
      </w:r>
      <w:r>
        <w:t xml:space="preserve">. Účetní evidenci </w:t>
      </w:r>
      <w:r w:rsidR="001255EE">
        <w:t>podpory</w:t>
      </w:r>
      <w:r>
        <w:t xml:space="preserve"> </w:t>
      </w:r>
      <w:r w:rsidR="004F75B4">
        <w:br/>
      </w:r>
      <w:r>
        <w:t xml:space="preserve">za </w:t>
      </w:r>
      <w:r w:rsidR="00210747">
        <w:t>1. pololetí</w:t>
      </w:r>
      <w:r>
        <w:t xml:space="preserve"> 202</w:t>
      </w:r>
      <w:r w:rsidR="00E84A1A">
        <w:t>5</w:t>
      </w:r>
      <w:r>
        <w:t xml:space="preserve"> předloží příjemce v členění způsobilých nákladů dle čl. 2odst.</w:t>
      </w:r>
      <w:r w:rsidR="00E84A1A">
        <w:t xml:space="preserve"> </w:t>
      </w:r>
      <w:r w:rsidR="00E84A1A">
        <w:fldChar w:fldCharType="begin"/>
      </w:r>
      <w:r w:rsidR="00E84A1A">
        <w:instrText xml:space="preserve"> REF _Ref175638687 \r \h </w:instrText>
      </w:r>
      <w:r w:rsidR="00E84A1A">
        <w:fldChar w:fldCharType="separate"/>
      </w:r>
      <w:r w:rsidR="003A4A84">
        <w:t>12</w:t>
      </w:r>
      <w:r w:rsidR="00E84A1A">
        <w:fldChar w:fldCharType="end"/>
      </w:r>
      <w:r>
        <w:t xml:space="preserve"> tohoto rozhodnutí. </w:t>
      </w:r>
    </w:p>
    <w:p w14:paraId="4E3C371E" w14:textId="77777777" w:rsidR="00E84A1A" w:rsidRDefault="00E84A1A" w:rsidP="00E84A1A">
      <w:pPr>
        <w:spacing w:after="0" w:line="264" w:lineRule="auto"/>
        <w:ind w:left="567" w:right="5" w:firstLine="0"/>
      </w:pPr>
    </w:p>
    <w:p w14:paraId="771B523C" w14:textId="77777777" w:rsidR="009D14F1" w:rsidRDefault="006F3960" w:rsidP="00B40FF9">
      <w:pPr>
        <w:pStyle w:val="Nadpis1"/>
        <w:spacing w:line="264" w:lineRule="auto"/>
        <w:ind w:left="0" w:right="-2" w:firstLine="0"/>
      </w:pPr>
      <w:r>
        <w:t>Článek 3</w:t>
      </w:r>
    </w:p>
    <w:p w14:paraId="6E2ECDEB" w14:textId="77777777" w:rsidR="00E84A1A" w:rsidRDefault="006F3960" w:rsidP="00923C04">
      <w:pPr>
        <w:spacing w:after="0" w:line="264" w:lineRule="auto"/>
        <w:ind w:left="0" w:right="5" w:firstLine="0"/>
        <w:jc w:val="center"/>
        <w:rPr>
          <w:b/>
        </w:rPr>
      </w:pPr>
      <w:r>
        <w:rPr>
          <w:b/>
        </w:rPr>
        <w:t>Vlastnictví majetku</w:t>
      </w:r>
    </w:p>
    <w:p w14:paraId="149E8F9C" w14:textId="77777777" w:rsidR="009D14F1" w:rsidRDefault="006F3960" w:rsidP="00E84A1A">
      <w:pPr>
        <w:pStyle w:val="Odstavecseseznamem"/>
        <w:numPr>
          <w:ilvl w:val="0"/>
          <w:numId w:val="10"/>
        </w:numPr>
        <w:spacing w:after="0" w:line="264" w:lineRule="auto"/>
        <w:ind w:left="567" w:right="5" w:hanging="567"/>
      </w:pPr>
      <w:r>
        <w:t xml:space="preserve">Vlastníkem hmotného nebo nehmotného majetku pořízeného z podpory na rozvoj výzkumné organizace (dále též „majetek") je příjemce, pokud v odst. 2 není uvedeno jinak. </w:t>
      </w:r>
    </w:p>
    <w:p w14:paraId="21F8020E" w14:textId="77777777" w:rsidR="009D14F1" w:rsidRDefault="006F3960" w:rsidP="00E84A1A">
      <w:pPr>
        <w:pStyle w:val="Odstavecseseznamem"/>
        <w:numPr>
          <w:ilvl w:val="0"/>
          <w:numId w:val="10"/>
        </w:numPr>
        <w:spacing w:after="0" w:line="264" w:lineRule="auto"/>
        <w:ind w:left="567" w:right="5" w:hanging="567"/>
      </w:pPr>
      <w:r>
        <w:t xml:space="preserve">Pokud se na pořízení majetku kromě příjemce podílejí třetí osoby, je příjemce povinen provést taková opatření nebo uzavřít takové smlouvy, aby vlastnický podíl příjemce na majetku odpovídal alespoň podílu příjemce na jeho pořízení. </w:t>
      </w:r>
    </w:p>
    <w:p w14:paraId="42739745" w14:textId="77777777" w:rsidR="009D14F1" w:rsidRDefault="006F3960" w:rsidP="00120279">
      <w:pPr>
        <w:spacing w:after="0" w:line="264" w:lineRule="auto"/>
        <w:ind w:left="53" w:firstLine="0"/>
        <w:jc w:val="center"/>
      </w:pPr>
      <w:r>
        <w:rPr>
          <w:b/>
        </w:rPr>
        <w:t xml:space="preserve"> </w:t>
      </w:r>
    </w:p>
    <w:p w14:paraId="677F1725" w14:textId="77777777" w:rsidR="009D14F1" w:rsidRDefault="006F3960" w:rsidP="00B40FF9">
      <w:pPr>
        <w:pStyle w:val="Nadpis1"/>
        <w:spacing w:line="264" w:lineRule="auto"/>
        <w:ind w:left="0" w:right="-2" w:firstLine="0"/>
      </w:pPr>
      <w:r>
        <w:t xml:space="preserve">Článek 4 </w:t>
      </w:r>
    </w:p>
    <w:p w14:paraId="11A7C18F" w14:textId="77777777" w:rsidR="009D14F1" w:rsidRDefault="006F3960" w:rsidP="00B40FF9">
      <w:pPr>
        <w:pStyle w:val="Nadpis1"/>
        <w:spacing w:line="264" w:lineRule="auto"/>
        <w:ind w:left="0" w:right="104" w:firstLine="0"/>
      </w:pPr>
      <w:r>
        <w:t xml:space="preserve">Práva k výsledkům, jejich ochrana, využití a hodnocení </w:t>
      </w:r>
    </w:p>
    <w:p w14:paraId="6BB939A1" w14:textId="77777777" w:rsidR="009D14F1" w:rsidRDefault="006F3960" w:rsidP="0082757E">
      <w:pPr>
        <w:numPr>
          <w:ilvl w:val="0"/>
          <w:numId w:val="3"/>
        </w:numPr>
        <w:spacing w:after="0" w:line="264" w:lineRule="auto"/>
        <w:ind w:left="567" w:right="5" w:hanging="567"/>
      </w:pPr>
      <w:r>
        <w:t xml:space="preserve">Všechna práva k výsledkům výzkumu, vývoje a inovací dosažených z podpory </w:t>
      </w:r>
      <w:r w:rsidR="0082757E">
        <w:br/>
      </w:r>
      <w:r>
        <w:t xml:space="preserve">na rozvoj výzkumné organizace (dále též „výsledky") náleží příjemci. Práva autorů a původců výsledků a majitelů ochranných práv k nim jsou upravena zvláštními právními předpisy. </w:t>
      </w:r>
    </w:p>
    <w:p w14:paraId="3BE4B58C" w14:textId="77777777" w:rsidR="009D14F1" w:rsidRDefault="006F3960" w:rsidP="0082757E">
      <w:pPr>
        <w:numPr>
          <w:ilvl w:val="0"/>
          <w:numId w:val="3"/>
        </w:numPr>
        <w:spacing w:after="0" w:line="264" w:lineRule="auto"/>
        <w:ind w:left="567" w:right="5" w:hanging="567"/>
      </w:pPr>
      <w:r>
        <w:t xml:space="preserve">Mohou-li si u příjemce činit nároky na práva k výsledkům třetí osoby, musí příjemce provést taková opatření nebo uzavřít takové smlouvy, aby tato práva byla vykonávána v souladu s jeho vlastními závazky vyplývajícími z tohoto rozhodnutí. </w:t>
      </w:r>
    </w:p>
    <w:p w14:paraId="5015909A" w14:textId="77777777" w:rsidR="009D14F1" w:rsidRDefault="006F3960" w:rsidP="0082757E">
      <w:pPr>
        <w:numPr>
          <w:ilvl w:val="0"/>
          <w:numId w:val="3"/>
        </w:numPr>
        <w:spacing w:after="0" w:line="264" w:lineRule="auto"/>
        <w:ind w:left="567" w:right="5" w:hanging="567"/>
      </w:pPr>
      <w:r>
        <w:t xml:space="preserve">Příjemce je povinen nakládání s výsledky upravit svým vnitřním předpisem. </w:t>
      </w:r>
    </w:p>
    <w:p w14:paraId="66594E7E" w14:textId="77777777" w:rsidR="009D14F1" w:rsidRDefault="006F3960" w:rsidP="0082757E">
      <w:pPr>
        <w:numPr>
          <w:ilvl w:val="0"/>
          <w:numId w:val="3"/>
        </w:numPr>
        <w:spacing w:after="0" w:line="264" w:lineRule="auto"/>
        <w:ind w:left="567" w:right="5" w:hanging="567"/>
      </w:pPr>
      <w:r>
        <w:t xml:space="preserve">Příjemce je povinen zajistit, aby výsledky, k nimž má majetková práva a které mohou být využity, byly přiměřeně a účinně chráněny. </w:t>
      </w:r>
    </w:p>
    <w:p w14:paraId="0B251CDB" w14:textId="77777777" w:rsidR="009D14F1" w:rsidRDefault="006F3960" w:rsidP="0082757E">
      <w:pPr>
        <w:numPr>
          <w:ilvl w:val="0"/>
          <w:numId w:val="3"/>
        </w:numPr>
        <w:spacing w:after="0" w:line="264" w:lineRule="auto"/>
        <w:ind w:left="567" w:right="5" w:hanging="567"/>
      </w:pPr>
      <w:r>
        <w:t xml:space="preserve">Příjemce je povinen výsledky, k nimž má majetková práva, využít nebo umožnit jejich využití. Výsledky lze využít pouze veřejným šířením na nevýlučném a nediskriminačním základě formou výuky, publikací nebo transferu znalostí. </w:t>
      </w:r>
    </w:p>
    <w:p w14:paraId="29D0B24F" w14:textId="77777777" w:rsidR="009D14F1" w:rsidRDefault="006F3960" w:rsidP="0082757E">
      <w:pPr>
        <w:numPr>
          <w:ilvl w:val="0"/>
          <w:numId w:val="3"/>
        </w:numPr>
        <w:spacing w:after="0" w:line="264" w:lineRule="auto"/>
        <w:ind w:left="567" w:right="5" w:hanging="567"/>
      </w:pPr>
      <w:r>
        <w:t xml:space="preserve">Je-li výsledkem patentový vynález, vztahuje se na něj ustanovení o zaměstnaneckých vynálezech a majitel patentu je povinen učinit nabídku licence podle zvláštních právních předpisů. </w:t>
      </w:r>
    </w:p>
    <w:p w14:paraId="465555BE" w14:textId="77777777" w:rsidR="009D14F1" w:rsidRDefault="006F3960" w:rsidP="0082757E">
      <w:pPr>
        <w:numPr>
          <w:ilvl w:val="0"/>
          <w:numId w:val="3"/>
        </w:numPr>
        <w:spacing w:after="0" w:line="264" w:lineRule="auto"/>
        <w:ind w:left="567" w:right="5" w:hanging="567"/>
      </w:pPr>
      <w:r>
        <w:t xml:space="preserve">Postoupí-li příjemce majetková práva k výsledkům třetím osobám, zajistí odpovídajícími opatřeními nebo smlouvami, aby jeho závazky přešly na nového nositele práv tak, aby byly zajištěny zájmy poskytovatele vyplývající z tohoto rozhodnutí. </w:t>
      </w:r>
    </w:p>
    <w:p w14:paraId="52C73A15" w14:textId="77777777" w:rsidR="009D14F1" w:rsidRDefault="006F3960" w:rsidP="0082757E">
      <w:pPr>
        <w:numPr>
          <w:ilvl w:val="0"/>
          <w:numId w:val="3"/>
        </w:numPr>
        <w:spacing w:after="0" w:line="264" w:lineRule="auto"/>
        <w:ind w:left="567" w:right="5" w:hanging="567"/>
      </w:pPr>
      <w:r>
        <w:lastRenderedPageBreak/>
        <w:t xml:space="preserve">Výsledky předané a zařazené do informačního systému výzkumu, vývoje a inovaci se zahrnují do hodnocení výsledků výzkumných organizací prováděného Radou </w:t>
      </w:r>
      <w:r w:rsidR="00695C24">
        <w:br/>
      </w:r>
      <w:r>
        <w:t>pro výzkum, vývoj a inovace podle § 35 odst. 2 písm. d) zákona</w:t>
      </w:r>
      <w:r w:rsidR="00695C24">
        <w:t>.</w:t>
      </w:r>
    </w:p>
    <w:p w14:paraId="400C0C39" w14:textId="77777777" w:rsidR="00923C04" w:rsidRDefault="00923C04" w:rsidP="00923C04">
      <w:pPr>
        <w:spacing w:after="0" w:line="264" w:lineRule="auto"/>
        <w:ind w:left="567" w:right="5" w:firstLine="0"/>
      </w:pPr>
    </w:p>
    <w:p w14:paraId="293DC352" w14:textId="77777777" w:rsidR="009D14F1" w:rsidRDefault="006F3960" w:rsidP="00923C04">
      <w:pPr>
        <w:pStyle w:val="Nadpis1"/>
        <w:spacing w:line="264" w:lineRule="auto"/>
        <w:ind w:left="0" w:right="-2" w:firstLine="0"/>
      </w:pPr>
      <w:r>
        <w:t>Článek 5</w:t>
      </w:r>
    </w:p>
    <w:p w14:paraId="417AE7BF" w14:textId="77777777" w:rsidR="004B3229" w:rsidRDefault="006F3960" w:rsidP="00923C04">
      <w:pPr>
        <w:spacing w:after="0" w:line="264" w:lineRule="auto"/>
        <w:ind w:left="0" w:right="5" w:firstLine="0"/>
        <w:jc w:val="center"/>
        <w:rPr>
          <w:b/>
        </w:rPr>
      </w:pPr>
      <w:r>
        <w:rPr>
          <w:b/>
        </w:rPr>
        <w:t>Kontrola</w:t>
      </w:r>
    </w:p>
    <w:p w14:paraId="231964C1" w14:textId="34726F07" w:rsidR="009D14F1" w:rsidRDefault="006F3960" w:rsidP="00923C04">
      <w:pPr>
        <w:pStyle w:val="Odstavecseseznamem"/>
        <w:numPr>
          <w:ilvl w:val="0"/>
          <w:numId w:val="12"/>
        </w:numPr>
        <w:spacing w:after="0" w:line="264" w:lineRule="auto"/>
        <w:ind w:left="567" w:right="5" w:hanging="567"/>
      </w:pPr>
      <w:r>
        <w:t xml:space="preserve">Poskytovatel je oprávněn provádět kontrolu užití podpory na rozvoj výzkumné organizace, včetně </w:t>
      </w:r>
      <w:r w:rsidR="00C70E11">
        <w:t xml:space="preserve">kontroly plnění cílů projektu, </w:t>
      </w:r>
      <w:r>
        <w:t xml:space="preserve">kontroly čerpání, využití a účelnosti </w:t>
      </w:r>
      <w:r w:rsidR="00C70E11">
        <w:t>vynaložených nákladů</w:t>
      </w:r>
      <w:r>
        <w:t xml:space="preserve"> </w:t>
      </w:r>
      <w:r w:rsidR="00C70E11">
        <w:t xml:space="preserve">projektu </w:t>
      </w:r>
      <w:r>
        <w:t>a kontroly využití výsledků, kontrolu plnění podmínek tohoto rozhodnutí a finanční kontrolu podle zákona o finanční kontrole</w:t>
      </w:r>
      <w:r w:rsidR="003C152A">
        <w:t>.</w:t>
      </w:r>
      <w:r>
        <w:t xml:space="preserve"> </w:t>
      </w:r>
    </w:p>
    <w:p w14:paraId="203AF5D7" w14:textId="77777777" w:rsidR="009D14F1" w:rsidRDefault="006F3960" w:rsidP="00923C04">
      <w:pPr>
        <w:numPr>
          <w:ilvl w:val="0"/>
          <w:numId w:val="12"/>
        </w:numPr>
        <w:spacing w:after="0" w:line="264" w:lineRule="auto"/>
        <w:ind w:left="567" w:right="5" w:hanging="567"/>
      </w:pPr>
      <w:r>
        <w:t xml:space="preserve">Příjemce je povinen osobám pověřeným poskytovatelem provedením kontroly zajistit přístup na pracoviště příjemce, k osobám podílejícím se na výzkumu, vývoji a inovacích podporovaných z podpory na rozvoj výzkumné organizace a k účetní evidenci a všem dalším dokumentům, počítačovým záznamům a zařízením, které k této podpoře přísluší. Povinnosti příjemce při finanční kontrole stanoví právní předpis uvedený </w:t>
      </w:r>
      <w:r w:rsidR="00670E24">
        <w:br/>
      </w:r>
      <w:r>
        <w:t xml:space="preserve">v odst. 1. </w:t>
      </w:r>
    </w:p>
    <w:p w14:paraId="10F5F5A7" w14:textId="16AEB0A1" w:rsidR="009D14F1" w:rsidRDefault="006F3960" w:rsidP="00923C04">
      <w:pPr>
        <w:numPr>
          <w:ilvl w:val="0"/>
          <w:numId w:val="12"/>
        </w:numPr>
        <w:spacing w:after="0" w:line="264" w:lineRule="auto"/>
        <w:ind w:left="567" w:right="5" w:hanging="567"/>
      </w:pPr>
      <w:r>
        <w:t xml:space="preserve">Příjemce je povinen odpovídajícími opatřeními nebo smlouvami zajistit provedení kontroly podle odstavců 1 a 2 rovněž u výzkumné organizace jiné než příjemce, které příjemce hradil způsobilé náklady na činnosti ve výzkumu, vývoji a inovacích podle článku 2 odst. </w:t>
      </w:r>
      <w:r w:rsidR="00670E24">
        <w:fldChar w:fldCharType="begin"/>
      </w:r>
      <w:r w:rsidR="00670E24">
        <w:instrText xml:space="preserve"> REF _Ref175639779 \r \h </w:instrText>
      </w:r>
      <w:r w:rsidR="00670E24">
        <w:fldChar w:fldCharType="separate"/>
      </w:r>
      <w:r w:rsidR="003A4A84">
        <w:t>11</w:t>
      </w:r>
      <w:r w:rsidR="00670E24">
        <w:fldChar w:fldCharType="end"/>
      </w:r>
      <w:r>
        <w:t xml:space="preserve"> tohoto rozhodnutí. </w:t>
      </w:r>
    </w:p>
    <w:p w14:paraId="46DDB227" w14:textId="251A21B5" w:rsidR="00670E24" w:rsidRDefault="00670E24" w:rsidP="00EC4E2E">
      <w:pPr>
        <w:numPr>
          <w:ilvl w:val="0"/>
          <w:numId w:val="12"/>
        </w:numPr>
        <w:spacing w:after="0" w:line="264" w:lineRule="auto"/>
        <w:ind w:left="567" w:right="5" w:hanging="567"/>
      </w:pPr>
      <w:r>
        <w:t>Neoprávněné použití nebo zadržení prostředků poskytnutých na základě tohoto rozhodnutí ze strany</w:t>
      </w:r>
      <w:r w:rsidR="00EC4E2E">
        <w:t xml:space="preserve"> </w:t>
      </w:r>
      <w:r>
        <w:t xml:space="preserve">příjemce je porušením rozpočtové kázně podle zákona </w:t>
      </w:r>
      <w:r w:rsidR="00EC4E2E">
        <w:br/>
      </w:r>
      <w:r>
        <w:t>č. 250/2000 Sb., o rozpočtových pravidlech</w:t>
      </w:r>
      <w:r w:rsidR="00F54453">
        <w:t xml:space="preserve"> </w:t>
      </w:r>
      <w:r>
        <w:t>územních rozpočtů, ve znění pozdějších předpisů. Poskytovatel je v takovém případě oprávněn postupovat</w:t>
      </w:r>
      <w:r w:rsidR="00F54453">
        <w:t xml:space="preserve"> </w:t>
      </w:r>
      <w:r>
        <w:t>podle uvedeného zákona a uložit příjemci odvod do svého rozpočtu ve výši částky neoprávněně použitých</w:t>
      </w:r>
      <w:r w:rsidR="00F54453">
        <w:t xml:space="preserve"> </w:t>
      </w:r>
      <w:r>
        <w:t>nebo zadržených prostředků. Za prodlení s odvodem za porušení rozpočtové kázně vyplývá tomu, kdo</w:t>
      </w:r>
      <w:r w:rsidR="00F54453">
        <w:t xml:space="preserve"> </w:t>
      </w:r>
      <w:r>
        <w:t xml:space="preserve">rozpočtovou kázeň porušil, povinnost zaplatit penále ve výši </w:t>
      </w:r>
      <w:r w:rsidR="0076585B">
        <w:t>0,4</w:t>
      </w:r>
      <w:r>
        <w:t xml:space="preserve"> promile denně z neoprávněně použitých nebo</w:t>
      </w:r>
      <w:r w:rsidR="00F54453">
        <w:t xml:space="preserve"> </w:t>
      </w:r>
      <w:r>
        <w:t>zadržených prostředků, nejvýše však do výše tohoto odvodu.</w:t>
      </w:r>
    </w:p>
    <w:p w14:paraId="42085BA2" w14:textId="77777777" w:rsidR="00F54453" w:rsidRDefault="00F54453" w:rsidP="00F54453">
      <w:pPr>
        <w:spacing w:after="0" w:line="264" w:lineRule="auto"/>
        <w:ind w:left="567" w:right="5" w:firstLine="0"/>
      </w:pPr>
    </w:p>
    <w:p w14:paraId="55B02B0B" w14:textId="77777777" w:rsidR="00BB6AE7" w:rsidRDefault="006F3960" w:rsidP="00F54453">
      <w:pPr>
        <w:pStyle w:val="Nadpis1"/>
        <w:spacing w:line="264" w:lineRule="auto"/>
        <w:ind w:left="0" w:right="-2"/>
      </w:pPr>
      <w:r>
        <w:t xml:space="preserve">Článek 6 </w:t>
      </w:r>
    </w:p>
    <w:p w14:paraId="627032FD" w14:textId="77777777" w:rsidR="009D14F1" w:rsidRDefault="006F3960" w:rsidP="00F54453">
      <w:pPr>
        <w:pStyle w:val="Nadpis1"/>
        <w:spacing w:line="264" w:lineRule="auto"/>
        <w:ind w:left="0" w:right="-2"/>
      </w:pPr>
      <w:r>
        <w:t xml:space="preserve">Poskytování informací </w:t>
      </w:r>
    </w:p>
    <w:p w14:paraId="056106A1" w14:textId="77777777" w:rsidR="009D14F1" w:rsidRDefault="006F3960" w:rsidP="003527BD">
      <w:pPr>
        <w:numPr>
          <w:ilvl w:val="0"/>
          <w:numId w:val="5"/>
        </w:numPr>
        <w:spacing w:after="0" w:line="264" w:lineRule="auto"/>
        <w:ind w:left="567" w:right="5" w:hanging="567"/>
      </w:pPr>
      <w:r>
        <w:t xml:space="preserve">Příjemce je povinen poskytovat pravdivé a včasné informace o výzkumu, vývoji a inovacích podpořených z podpory na rozvoj výzkumné organizace a o jejich výsledcích. </w:t>
      </w:r>
    </w:p>
    <w:p w14:paraId="7648057C" w14:textId="77777777" w:rsidR="009D14F1" w:rsidRDefault="006F3960" w:rsidP="003527BD">
      <w:pPr>
        <w:numPr>
          <w:ilvl w:val="0"/>
          <w:numId w:val="5"/>
        </w:numPr>
        <w:spacing w:after="0" w:line="264" w:lineRule="auto"/>
        <w:ind w:left="567" w:right="5" w:hanging="567"/>
      </w:pPr>
      <w:r>
        <w:t xml:space="preserve">Příjemce plní povinnost poskytování informací podle odst. 1 </w:t>
      </w:r>
    </w:p>
    <w:p w14:paraId="44074C53" w14:textId="77777777" w:rsidR="009D14F1" w:rsidRDefault="006F3960" w:rsidP="003527BD">
      <w:pPr>
        <w:numPr>
          <w:ilvl w:val="1"/>
          <w:numId w:val="13"/>
        </w:numPr>
        <w:spacing w:after="0" w:line="264" w:lineRule="auto"/>
        <w:ind w:left="851" w:right="5" w:hanging="284"/>
      </w:pPr>
      <w:r>
        <w:t xml:space="preserve">předáním údajů do informačního systému výzkumu, vývoje a inovací. Obsah předávaných údajů, jejich formu, způsob a lhůty pro jejich předání stanoví zákon </w:t>
      </w:r>
      <w:r w:rsidR="003527BD">
        <w:br/>
      </w:r>
      <w:r>
        <w:t xml:space="preserve">a nařízení vlády č. 397/2009 Sb., o informačním systému výzkumu, experimentálního vývoje a inovací, </w:t>
      </w:r>
    </w:p>
    <w:p w14:paraId="6707E3BE" w14:textId="77777777" w:rsidR="009D14F1" w:rsidRDefault="006F3960" w:rsidP="009A640B">
      <w:pPr>
        <w:numPr>
          <w:ilvl w:val="1"/>
          <w:numId w:val="13"/>
        </w:numPr>
        <w:spacing w:after="0" w:line="264" w:lineRule="auto"/>
        <w:ind w:left="851" w:right="5" w:hanging="284"/>
      </w:pPr>
      <w:r>
        <w:t>předložením výroční zprávy o činnosti a výroční zprávy o hospodaření nebo   jiných obdobných dokumentů podle zvláštního právního předpisu</w:t>
      </w:r>
      <w:r>
        <w:rPr>
          <w:vertAlign w:val="superscript"/>
        </w:rPr>
        <w:footnoteReference w:id="3"/>
      </w:r>
      <w:r>
        <w:t xml:space="preserve">   poskytovateli. </w:t>
      </w:r>
    </w:p>
    <w:p w14:paraId="34B8D6D3" w14:textId="77777777" w:rsidR="009D14F1" w:rsidRDefault="006F3960" w:rsidP="003527BD">
      <w:pPr>
        <w:numPr>
          <w:ilvl w:val="0"/>
          <w:numId w:val="5"/>
        </w:numPr>
        <w:spacing w:after="0" w:line="264" w:lineRule="auto"/>
        <w:ind w:left="567" w:right="5" w:hanging="567"/>
      </w:pPr>
      <w:r>
        <w:t xml:space="preserve">Pokud jsou výzkum, vývoj a inovace podporované z podpory na rozvoj výzkumné organizace předmětem zákonem stanovené nebo uznané povinnosti mlčenlivosti, poskytne příjemce informace o prováděném výzkumu, vývoji </w:t>
      </w:r>
      <w:r w:rsidR="003527BD">
        <w:t xml:space="preserve">a </w:t>
      </w:r>
      <w:r>
        <w:t xml:space="preserve">inovacích a jejich výsledcích s vyloučením těch informací, o nichž to stanoví zákon. </w:t>
      </w:r>
    </w:p>
    <w:p w14:paraId="32163E96" w14:textId="77777777" w:rsidR="009D14F1" w:rsidRDefault="006F3960" w:rsidP="003527BD">
      <w:pPr>
        <w:numPr>
          <w:ilvl w:val="0"/>
          <w:numId w:val="5"/>
        </w:numPr>
        <w:spacing w:after="0" w:line="264" w:lineRule="auto"/>
        <w:ind w:left="567" w:right="5" w:hanging="567"/>
      </w:pPr>
      <w:r>
        <w:t xml:space="preserve">Příjemce je povinen neprodleně informovat poskytovatele o každé změně údajů rozhodných pro poskytnutí podpory na rozvoj výzkumné organizace. </w:t>
      </w:r>
    </w:p>
    <w:p w14:paraId="1A6BC37B" w14:textId="77777777" w:rsidR="009D14F1" w:rsidRDefault="006F3960" w:rsidP="003527BD">
      <w:pPr>
        <w:numPr>
          <w:ilvl w:val="0"/>
          <w:numId w:val="5"/>
        </w:numPr>
        <w:spacing w:after="0" w:line="264" w:lineRule="auto"/>
        <w:ind w:left="567" w:right="5" w:hanging="567"/>
      </w:pPr>
      <w:r>
        <w:t xml:space="preserve">Příjemce je povinen nejpozději do 15. listopadu daného roku informovat poskytovatele o předpokládané výši podpory na rozvoj výzkumné organizace, která nebude do 31. prosince daného roku vyčerpána. Pokud bude předpokládaná výše nečerpané podpory větší než 5 % podpory, stanoví poskytovatel výši vratky a uloží její provedení </w:t>
      </w:r>
      <w:r w:rsidR="003527BD">
        <w:br/>
      </w:r>
      <w:r>
        <w:t xml:space="preserve">na výdajový účet poskytovatele v termínu nejpozději do 20. prosince daného roku. </w:t>
      </w:r>
      <w:r>
        <w:lastRenderedPageBreak/>
        <w:t xml:space="preserve">Nesplnění těchto povinností může být důvodem pro neposkytnutí podpory </w:t>
      </w:r>
      <w:r w:rsidR="003527BD">
        <w:br/>
      </w:r>
      <w:r>
        <w:t xml:space="preserve">v následujícím kalendářním roce. </w:t>
      </w:r>
    </w:p>
    <w:p w14:paraId="333707FF" w14:textId="77777777" w:rsidR="0071657A" w:rsidRDefault="0071657A" w:rsidP="0071657A">
      <w:pPr>
        <w:spacing w:after="0" w:line="264" w:lineRule="auto"/>
        <w:ind w:left="567" w:right="5" w:firstLine="0"/>
      </w:pPr>
    </w:p>
    <w:p w14:paraId="613A91F5" w14:textId="77777777" w:rsidR="0071657A" w:rsidRDefault="006F3960" w:rsidP="0071657A">
      <w:pPr>
        <w:pStyle w:val="Nadpis1"/>
        <w:spacing w:line="264" w:lineRule="auto"/>
        <w:ind w:left="0" w:right="-2"/>
      </w:pPr>
      <w:r>
        <w:t xml:space="preserve">Článek 7 </w:t>
      </w:r>
    </w:p>
    <w:p w14:paraId="1EFE596B" w14:textId="77777777" w:rsidR="009D14F1" w:rsidRDefault="006F3960" w:rsidP="0071657A">
      <w:pPr>
        <w:pStyle w:val="Nadpis1"/>
        <w:spacing w:line="264" w:lineRule="auto"/>
        <w:ind w:left="0" w:right="-2"/>
      </w:pPr>
      <w:r>
        <w:t xml:space="preserve">Odnětí podpory na rozvoj výzkumné organizace </w:t>
      </w:r>
    </w:p>
    <w:p w14:paraId="1EB9298D" w14:textId="77777777" w:rsidR="0071657A" w:rsidRDefault="006F3960" w:rsidP="0071657A">
      <w:pPr>
        <w:numPr>
          <w:ilvl w:val="0"/>
          <w:numId w:val="6"/>
        </w:numPr>
        <w:spacing w:after="0" w:line="264" w:lineRule="auto"/>
        <w:ind w:left="567" w:right="5" w:hanging="567"/>
      </w:pPr>
      <w:r>
        <w:t>Poskytovatel může zahájit řízení o odnětí podpory na rozvoj výzkumné organizace podle § 15 odst. 1 zákona č. 218/2000 Sb., o rozpočtových pravidlech a o změně některých souvisejících zákonů (rozpočtová pravidla), ve znění pozdějších předpisů</w:t>
      </w:r>
      <w:r w:rsidR="00384D1F">
        <w:t xml:space="preserve"> (dále jen „rozpočtová pravidla“)</w:t>
      </w:r>
      <w:r>
        <w:t xml:space="preserve">, dojde-li po vydání tohoto rozhodnutí </w:t>
      </w:r>
    </w:p>
    <w:p w14:paraId="407BCB3B" w14:textId="77777777" w:rsidR="00091478" w:rsidRDefault="00091478" w:rsidP="0071657A">
      <w:pPr>
        <w:numPr>
          <w:ilvl w:val="1"/>
          <w:numId w:val="15"/>
        </w:numPr>
        <w:spacing w:after="0" w:line="264" w:lineRule="auto"/>
        <w:ind w:left="851" w:right="5" w:hanging="284"/>
      </w:pPr>
      <w:r>
        <w:t>k vázání prostředků státního rozpočtu,</w:t>
      </w:r>
    </w:p>
    <w:p w14:paraId="68307B6F" w14:textId="77777777" w:rsidR="009D14F1" w:rsidRDefault="006F3960" w:rsidP="0071657A">
      <w:pPr>
        <w:numPr>
          <w:ilvl w:val="1"/>
          <w:numId w:val="15"/>
        </w:numPr>
        <w:spacing w:after="0" w:line="264" w:lineRule="auto"/>
        <w:ind w:left="851" w:right="5" w:hanging="284"/>
      </w:pPr>
      <w:r>
        <w:t xml:space="preserve">ke zjištění, že údaje, na jejichž základě byla podpora na rozvoj výzkumné organizace poskytnuta, byly neúplné nebo nepravdivé, </w:t>
      </w:r>
    </w:p>
    <w:p w14:paraId="26FC4BD5" w14:textId="77777777" w:rsidR="009D14F1" w:rsidRDefault="006F3960" w:rsidP="0071657A">
      <w:pPr>
        <w:numPr>
          <w:ilvl w:val="1"/>
          <w:numId w:val="15"/>
        </w:numPr>
        <w:spacing w:after="0" w:line="264" w:lineRule="auto"/>
        <w:ind w:left="851" w:right="5" w:hanging="284"/>
      </w:pPr>
      <w:r>
        <w:t xml:space="preserve">ke zjištění, že rozhodnutí o poskytnutí podpory na rozvoj výzkumné organizace bylo vydáno v rozporu se zákonem nebo právem Evropské unie, nebo </w:t>
      </w:r>
    </w:p>
    <w:p w14:paraId="37F6038B" w14:textId="77777777" w:rsidR="009D14F1" w:rsidRDefault="006F3960" w:rsidP="0071657A">
      <w:pPr>
        <w:numPr>
          <w:ilvl w:val="1"/>
          <w:numId w:val="15"/>
        </w:numPr>
        <w:spacing w:after="0" w:line="264" w:lineRule="auto"/>
        <w:ind w:left="851" w:right="5" w:hanging="284"/>
      </w:pPr>
      <w:r>
        <w:t xml:space="preserve">ke zjištění, že nemůže být splněn řádně nebo včas účel, na který byla podpora </w:t>
      </w:r>
      <w:r w:rsidR="007A04E0">
        <w:br/>
      </w:r>
      <w:r>
        <w:t xml:space="preserve">na rozvoj výzkumné organizace poskytnuta, pokud již nedošlo k porušení rozpočtové kázně, </w:t>
      </w:r>
    </w:p>
    <w:p w14:paraId="73F2CB2D" w14:textId="77777777" w:rsidR="009D14F1" w:rsidRDefault="006F3960" w:rsidP="0071657A">
      <w:pPr>
        <w:numPr>
          <w:ilvl w:val="1"/>
          <w:numId w:val="15"/>
        </w:numPr>
        <w:spacing w:after="0" w:line="264" w:lineRule="auto"/>
        <w:ind w:left="851" w:right="5" w:hanging="284"/>
      </w:pPr>
      <w:r>
        <w:t xml:space="preserve">k vydání rozhodnutí Evropské komise o navrácení nebo o prozatímním navrácení veřejné podpory, </w:t>
      </w:r>
    </w:p>
    <w:p w14:paraId="44697BD4" w14:textId="77777777" w:rsidR="00BB7786" w:rsidRDefault="006F3960" w:rsidP="0071657A">
      <w:pPr>
        <w:numPr>
          <w:ilvl w:val="1"/>
          <w:numId w:val="15"/>
        </w:numPr>
        <w:spacing w:after="0" w:line="264" w:lineRule="auto"/>
        <w:ind w:left="851" w:right="5" w:hanging="284"/>
      </w:pPr>
      <w:r>
        <w:t>ke zjištění, že byl umožněn výkon nelegální práce</w:t>
      </w:r>
      <w:r>
        <w:rPr>
          <w:vertAlign w:val="superscript"/>
        </w:rPr>
        <w:footnoteReference w:id="4"/>
      </w:r>
      <w:r w:rsidR="00BB7786">
        <w:t>,</w:t>
      </w:r>
    </w:p>
    <w:p w14:paraId="1DC03EDF" w14:textId="77777777" w:rsidR="00BB7786" w:rsidRDefault="00BB7786" w:rsidP="00BB7786">
      <w:pPr>
        <w:numPr>
          <w:ilvl w:val="1"/>
          <w:numId w:val="15"/>
        </w:numPr>
        <w:spacing w:after="0" w:line="264" w:lineRule="auto"/>
        <w:ind w:left="851" w:right="5" w:hanging="284"/>
      </w:pPr>
      <w:r>
        <w:t>ke zjištění, že existuje pravomocný rozsudek, že v souvislosti s podáním žádosti o poskytnutí dotace</w:t>
      </w:r>
      <w:r w:rsidR="001255EE">
        <w:t xml:space="preserve"> (podpory)</w:t>
      </w:r>
      <w:r>
        <w:t xml:space="preserve"> nebo návratné finanční výpomoci byl spáchán trestný čin, nebo</w:t>
      </w:r>
    </w:p>
    <w:p w14:paraId="7338B618" w14:textId="77777777" w:rsidR="009D14F1" w:rsidRDefault="00BB7786" w:rsidP="00BB7786">
      <w:pPr>
        <w:numPr>
          <w:ilvl w:val="1"/>
          <w:numId w:val="15"/>
        </w:numPr>
        <w:spacing w:after="0" w:line="264" w:lineRule="auto"/>
        <w:ind w:left="851" w:right="5" w:hanging="284"/>
      </w:pPr>
      <w:r>
        <w:t>ke zjištění, že existuje pravomocný rozsudek, že v souvislosti s použitím peněžních prostředků získaných dotací</w:t>
      </w:r>
      <w:r w:rsidR="001255EE">
        <w:t xml:space="preserve"> (podporou)</w:t>
      </w:r>
      <w:r>
        <w:t xml:space="preserve"> nebo návratnou finanční výpomocí byl spáchán trestný čin.</w:t>
      </w:r>
      <w:r w:rsidR="006F3960">
        <w:t xml:space="preserve"> </w:t>
      </w:r>
    </w:p>
    <w:p w14:paraId="61AEA2B0" w14:textId="77777777" w:rsidR="009D14F1" w:rsidRDefault="006F3960" w:rsidP="0071657A">
      <w:pPr>
        <w:numPr>
          <w:ilvl w:val="0"/>
          <w:numId w:val="6"/>
        </w:numPr>
        <w:spacing w:after="0" w:line="264" w:lineRule="auto"/>
        <w:ind w:left="567" w:right="5" w:hanging="567"/>
      </w:pPr>
      <w:r>
        <w:t xml:space="preserve">Na řízení podle odst. 1 se vztahují obecné předpisy o správním řízení. </w:t>
      </w:r>
    </w:p>
    <w:p w14:paraId="03A43067" w14:textId="77777777" w:rsidR="007A04E0" w:rsidRDefault="007A04E0" w:rsidP="00120279">
      <w:pPr>
        <w:pStyle w:val="Nadpis1"/>
        <w:spacing w:line="264" w:lineRule="auto"/>
        <w:ind w:left="99" w:right="103"/>
      </w:pPr>
    </w:p>
    <w:p w14:paraId="4CE19990" w14:textId="77777777" w:rsidR="007A04E0" w:rsidRDefault="006F3960" w:rsidP="007A04E0">
      <w:pPr>
        <w:pStyle w:val="Nadpis1"/>
        <w:spacing w:line="264" w:lineRule="auto"/>
        <w:ind w:left="0" w:right="-2"/>
      </w:pPr>
      <w:r>
        <w:t xml:space="preserve">Článek </w:t>
      </w:r>
      <w:r w:rsidR="00FE071E">
        <w:t>8</w:t>
      </w:r>
      <w:r>
        <w:t xml:space="preserve">  </w:t>
      </w:r>
    </w:p>
    <w:p w14:paraId="05CD015B" w14:textId="5E17EA83" w:rsidR="009D14F1" w:rsidRDefault="0036429F" w:rsidP="007A04E0">
      <w:pPr>
        <w:pStyle w:val="Nadpis1"/>
        <w:spacing w:line="264" w:lineRule="auto"/>
        <w:ind w:left="0" w:right="-2"/>
      </w:pPr>
      <w:r>
        <w:t>Důsledky porušení povinností</w:t>
      </w:r>
    </w:p>
    <w:p w14:paraId="059EE41F" w14:textId="3D1A03BD" w:rsidR="009D14F1" w:rsidRDefault="006F3960" w:rsidP="008B6B70">
      <w:pPr>
        <w:spacing w:after="0" w:line="264" w:lineRule="auto"/>
        <w:ind w:left="0" w:right="5" w:firstLine="0"/>
      </w:pPr>
      <w:r>
        <w:t>Použití podpory na rozvoj výzkumné organizace v rozporu s podmínkami stanovenými právními předpisy nebo tímto rozhodnutím se považuje za porušení rozpočtové kázně podle</w:t>
      </w:r>
      <w:r w:rsidR="00445D82" w:rsidRPr="00445D82">
        <w:t xml:space="preserve"> </w:t>
      </w:r>
      <w:r w:rsidR="00445D82">
        <w:t>zákona č. 250/2000 Sb., o rozpočtových pravidlech územních rozpočtů, ve znění pozdějších předpisů</w:t>
      </w:r>
      <w:r>
        <w:t xml:space="preserve">. Odpovědnost podle zvláštního právního předpisu není tímto dotčena. </w:t>
      </w:r>
    </w:p>
    <w:p w14:paraId="3BA23E7F" w14:textId="77777777" w:rsidR="000F6238" w:rsidRDefault="000F6238" w:rsidP="00120279">
      <w:pPr>
        <w:spacing w:after="0" w:line="264" w:lineRule="auto"/>
        <w:ind w:left="99" w:right="107" w:hanging="10"/>
        <w:jc w:val="center"/>
        <w:rPr>
          <w:b/>
        </w:rPr>
      </w:pPr>
    </w:p>
    <w:p w14:paraId="5A4461AE" w14:textId="77777777" w:rsidR="000F6238" w:rsidRDefault="006F3960" w:rsidP="000F6238">
      <w:pPr>
        <w:pStyle w:val="Nadpis1"/>
        <w:spacing w:line="264" w:lineRule="auto"/>
        <w:ind w:left="0" w:right="-2" w:firstLine="0"/>
      </w:pPr>
      <w:r>
        <w:t xml:space="preserve">Článek </w:t>
      </w:r>
      <w:r w:rsidR="00B06F2E">
        <w:t>9</w:t>
      </w:r>
      <w:r>
        <w:t xml:space="preserve"> </w:t>
      </w:r>
    </w:p>
    <w:p w14:paraId="0C643E5C" w14:textId="77777777" w:rsidR="009D14F1" w:rsidRDefault="006F3960" w:rsidP="000F6238">
      <w:pPr>
        <w:pStyle w:val="Nadpis1"/>
        <w:spacing w:line="264" w:lineRule="auto"/>
        <w:ind w:left="0" w:right="-2" w:firstLine="0"/>
      </w:pPr>
      <w:r>
        <w:t xml:space="preserve">Vyhotovení </w:t>
      </w:r>
    </w:p>
    <w:p w14:paraId="7CB90358" w14:textId="77777777" w:rsidR="009D14F1" w:rsidRDefault="006F3960" w:rsidP="00120279">
      <w:pPr>
        <w:spacing w:after="0" w:line="264" w:lineRule="auto"/>
        <w:ind w:left="0" w:right="5" w:firstLine="0"/>
      </w:pPr>
      <w:r>
        <w:t xml:space="preserve">Toto rozhodnutí je sepsáno ve dvou vyhotoveních, z nichž jedno obdrží poskytovatel a jedno příjemce. </w:t>
      </w:r>
    </w:p>
    <w:p w14:paraId="60C24273" w14:textId="77777777" w:rsidR="00B06F2E" w:rsidRDefault="00B06F2E" w:rsidP="00120279">
      <w:pPr>
        <w:spacing w:after="0" w:line="264" w:lineRule="auto"/>
        <w:ind w:left="0" w:right="5" w:firstLine="0"/>
      </w:pPr>
    </w:p>
    <w:p w14:paraId="177C1CCE" w14:textId="77777777" w:rsidR="000F6238" w:rsidRDefault="006F3960" w:rsidP="000F6238">
      <w:pPr>
        <w:pStyle w:val="Nadpis1"/>
        <w:spacing w:line="264" w:lineRule="auto"/>
        <w:ind w:left="0" w:right="-2" w:firstLine="0"/>
      </w:pPr>
      <w:r>
        <w:t>Článek 1</w:t>
      </w:r>
      <w:r w:rsidR="00B06F2E">
        <w:t>0</w:t>
      </w:r>
      <w:r>
        <w:t xml:space="preserve"> </w:t>
      </w:r>
    </w:p>
    <w:p w14:paraId="0F69DB50" w14:textId="77777777" w:rsidR="000F6238" w:rsidRPr="000F6238" w:rsidRDefault="006F3960" w:rsidP="000F6238">
      <w:pPr>
        <w:pStyle w:val="Nadpis1"/>
        <w:spacing w:line="264" w:lineRule="auto"/>
        <w:ind w:left="0" w:right="-2" w:firstLine="0"/>
      </w:pPr>
      <w:r>
        <w:t xml:space="preserve">Závěrečná ustanovení </w:t>
      </w:r>
    </w:p>
    <w:p w14:paraId="6B0F42AF" w14:textId="77777777" w:rsidR="009D14F1" w:rsidRDefault="006F3960" w:rsidP="000F6238">
      <w:pPr>
        <w:numPr>
          <w:ilvl w:val="0"/>
          <w:numId w:val="16"/>
        </w:numPr>
        <w:spacing w:after="0" w:line="264" w:lineRule="auto"/>
        <w:ind w:left="567" w:right="5" w:hanging="567"/>
      </w:pPr>
      <w:r>
        <w:t xml:space="preserve">Vztahy tímto rozhodnutím neupravené se řídí zákonem č. 218/2000 Sb., o rozpočtových pravidlech a o změně některých souvisejících zákonů (rozpočtová pravidla), ve znění pozdějších předpisů, zákonem č. 130/2002 Sb., o podpoře výzkumu, experimentálního vývoje a inovací z veřejných prostředků a o změně některých souvisejících zákonů (zákon o podpoře výzkumu, experimentálního vývoje a inovací), ve znění pozdějších předpisů, nařízením vlády č. 397/2009 Sb., o informačním systému výzkumu, experimentálního vývoje a inovací, a dalšími obecně závaznými právními předpisy. </w:t>
      </w:r>
    </w:p>
    <w:p w14:paraId="437E1D60" w14:textId="77777777" w:rsidR="009D14F1" w:rsidRDefault="006F3960" w:rsidP="000F6238">
      <w:pPr>
        <w:numPr>
          <w:ilvl w:val="0"/>
          <w:numId w:val="16"/>
        </w:numPr>
        <w:spacing w:after="0" w:line="264" w:lineRule="auto"/>
        <w:ind w:left="567" w:right="5" w:hanging="567"/>
      </w:pPr>
      <w:r>
        <w:t xml:space="preserve">Toto rozhodnutí nabývá účinnosti a je vykonatelné dnem rozhodnutí. </w:t>
      </w:r>
    </w:p>
    <w:p w14:paraId="5839B1A2" w14:textId="77777777" w:rsidR="009D14F1" w:rsidRDefault="006F3960" w:rsidP="00120279">
      <w:pPr>
        <w:spacing w:after="0" w:line="264" w:lineRule="auto"/>
        <w:ind w:left="103" w:firstLine="0"/>
        <w:jc w:val="left"/>
      </w:pPr>
      <w:r>
        <w:t xml:space="preserve"> </w:t>
      </w:r>
    </w:p>
    <w:p w14:paraId="386071D0" w14:textId="77777777" w:rsidR="003A7F7F" w:rsidRDefault="006F3960" w:rsidP="003A7F7F">
      <w:pPr>
        <w:pStyle w:val="Nadpis1"/>
        <w:spacing w:line="264" w:lineRule="auto"/>
        <w:ind w:left="0" w:right="1" w:firstLine="0"/>
      </w:pPr>
      <w:r>
        <w:lastRenderedPageBreak/>
        <w:t>Článek 1</w:t>
      </w:r>
      <w:r w:rsidR="000A3FA2">
        <w:t>1</w:t>
      </w:r>
      <w:r>
        <w:t xml:space="preserve"> </w:t>
      </w:r>
    </w:p>
    <w:p w14:paraId="66FB09DC" w14:textId="77777777" w:rsidR="009D14F1" w:rsidRDefault="006F3960" w:rsidP="003A7F7F">
      <w:pPr>
        <w:pStyle w:val="Nadpis1"/>
        <w:spacing w:line="264" w:lineRule="auto"/>
        <w:ind w:left="0" w:right="1" w:firstLine="0"/>
      </w:pPr>
      <w:r>
        <w:t xml:space="preserve">Poučení </w:t>
      </w:r>
    </w:p>
    <w:p w14:paraId="47B619D5" w14:textId="3F6D65F3" w:rsidR="009D14F1" w:rsidRDefault="006F3960" w:rsidP="00120279">
      <w:pPr>
        <w:spacing w:after="0" w:line="264" w:lineRule="auto"/>
        <w:ind w:left="103" w:right="5" w:firstLine="0"/>
      </w:pPr>
      <w:r>
        <w:t>Proti rozhodnutí není</w:t>
      </w:r>
      <w:r w:rsidR="00BB6AE7">
        <w:t xml:space="preserve"> s odkazem na § </w:t>
      </w:r>
      <w:proofErr w:type="gramStart"/>
      <w:r w:rsidR="00BB6AE7">
        <w:t>14q</w:t>
      </w:r>
      <w:proofErr w:type="gramEnd"/>
      <w:r w:rsidR="00BB6AE7">
        <w:t xml:space="preserve"> odst. 2 rozpočtových pravid</w:t>
      </w:r>
      <w:r w:rsidR="00DB0F53">
        <w:t>e</w:t>
      </w:r>
      <w:r w:rsidR="00BB6AE7">
        <w:t xml:space="preserve">l </w:t>
      </w:r>
      <w:r>
        <w:t>přípustné odvolání ani rozklad. Obnova řízení se nepřipouští. Přezkumné řízení se nepřipouští</w:t>
      </w:r>
      <w:r w:rsidR="008B53AE">
        <w:t>,</w:t>
      </w:r>
      <w:r>
        <w:t xml:space="preserve"> </w:t>
      </w:r>
      <w:r w:rsidR="008B53AE">
        <w:t>s</w:t>
      </w:r>
      <w:r>
        <w:t xml:space="preserve"> výjimkou postupu podle §</w:t>
      </w:r>
      <w:r w:rsidR="009828C5">
        <w:t xml:space="preserve"> </w:t>
      </w:r>
      <w:r>
        <w:t>153 odst. 1 písm. a)</w:t>
      </w:r>
      <w:r w:rsidR="00B34054">
        <w:t xml:space="preserve"> zákona č.</w:t>
      </w:r>
      <w:r w:rsidR="009828C5">
        <w:t xml:space="preserve"> </w:t>
      </w:r>
      <w:r w:rsidR="00B34054">
        <w:t>500/2004 Sb.,</w:t>
      </w:r>
      <w:r>
        <w:t xml:space="preserve"> správní řád</w:t>
      </w:r>
      <w:r w:rsidR="00B34054">
        <w:t>, ve znění pozdějších předpisů</w:t>
      </w:r>
      <w:r>
        <w:t xml:space="preserve">. </w:t>
      </w:r>
    </w:p>
    <w:p w14:paraId="3009E336" w14:textId="77777777" w:rsidR="009D14F1" w:rsidRDefault="006F3960" w:rsidP="00120279">
      <w:pPr>
        <w:spacing w:after="0" w:line="264" w:lineRule="auto"/>
        <w:ind w:left="713" w:firstLine="0"/>
        <w:jc w:val="left"/>
      </w:pPr>
      <w:r>
        <w:t xml:space="preserve"> </w:t>
      </w:r>
    </w:p>
    <w:p w14:paraId="065E5880" w14:textId="77777777" w:rsidR="009D14F1" w:rsidRDefault="006F3960" w:rsidP="00120279">
      <w:pPr>
        <w:spacing w:after="0" w:line="264" w:lineRule="auto"/>
        <w:ind w:left="0" w:firstLine="0"/>
        <w:jc w:val="left"/>
      </w:pPr>
      <w:r>
        <w:t xml:space="preserve">  </w:t>
      </w:r>
    </w:p>
    <w:p w14:paraId="6C75DDB8" w14:textId="77777777" w:rsidR="009D14F1" w:rsidRDefault="006F3960" w:rsidP="003A7F7F">
      <w:pPr>
        <w:spacing w:after="0" w:line="264" w:lineRule="auto"/>
        <w:ind w:left="1276" w:right="5" w:hanging="1276"/>
      </w:pPr>
      <w:r>
        <w:t>Příloha č. 1:</w:t>
      </w:r>
      <w:r w:rsidR="003A7F7F">
        <w:tab/>
        <w:t xml:space="preserve">Dlouhodobá koncepce rozvoje Institutu lázeňství a balneologie, </w:t>
      </w:r>
      <w:proofErr w:type="spellStart"/>
      <w:r w:rsidR="003A7F7F">
        <w:t>v.v.i</w:t>
      </w:r>
      <w:proofErr w:type="spellEnd"/>
      <w:r w:rsidR="003A7F7F">
        <w:t>. na období let 2025-2029</w:t>
      </w:r>
    </w:p>
    <w:p w14:paraId="00C7D708" w14:textId="77777777" w:rsidR="009D14F1" w:rsidRDefault="006F3960" w:rsidP="00120279">
      <w:pPr>
        <w:spacing w:after="0" w:line="264" w:lineRule="auto"/>
        <w:ind w:left="0" w:firstLine="0"/>
        <w:jc w:val="left"/>
      </w:pPr>
      <w:r>
        <w:t xml:space="preserve"> </w:t>
      </w:r>
    </w:p>
    <w:p w14:paraId="0D90F2B3" w14:textId="77777777" w:rsidR="009D14F1" w:rsidRDefault="006F3960" w:rsidP="00120279">
      <w:pPr>
        <w:spacing w:after="0" w:line="264" w:lineRule="auto"/>
        <w:ind w:left="0" w:firstLine="0"/>
        <w:jc w:val="left"/>
      </w:pPr>
      <w:r>
        <w:t>V</w:t>
      </w:r>
      <w:r w:rsidR="003A7F7F">
        <w:t> Karlových Varech</w:t>
      </w:r>
      <w:r>
        <w:t xml:space="preserve"> dne </w:t>
      </w:r>
      <w:r w:rsidR="003A7F7F">
        <w:t>……………………</w:t>
      </w:r>
      <w:r>
        <w:t xml:space="preserve"> 2024 </w:t>
      </w:r>
    </w:p>
    <w:p w14:paraId="0CBB77A0" w14:textId="77777777" w:rsidR="009D14F1" w:rsidRDefault="006F3960" w:rsidP="00120279">
      <w:pPr>
        <w:spacing w:after="0" w:line="264" w:lineRule="auto"/>
        <w:ind w:left="0" w:firstLine="0"/>
        <w:jc w:val="left"/>
      </w:pPr>
      <w:r>
        <w:t xml:space="preserve"> </w:t>
      </w:r>
    </w:p>
    <w:p w14:paraId="0EE8F5C1" w14:textId="77777777" w:rsidR="009D14F1" w:rsidRDefault="006F3960" w:rsidP="00120279">
      <w:pPr>
        <w:spacing w:after="0" w:line="264" w:lineRule="auto"/>
        <w:ind w:left="2379" w:firstLine="0"/>
        <w:jc w:val="center"/>
      </w:pPr>
      <w:r>
        <w:t xml:space="preserve"> </w:t>
      </w:r>
    </w:p>
    <w:p w14:paraId="1A28A6EC" w14:textId="77777777" w:rsidR="009D14F1" w:rsidRDefault="006F3960" w:rsidP="00120279">
      <w:pPr>
        <w:spacing w:after="0" w:line="264" w:lineRule="auto"/>
        <w:ind w:left="2379" w:firstLine="0"/>
        <w:jc w:val="center"/>
      </w:pPr>
      <w:r>
        <w:t xml:space="preserve"> </w:t>
      </w:r>
    </w:p>
    <w:p w14:paraId="2498779A" w14:textId="77777777" w:rsidR="009D14F1" w:rsidRDefault="006F3960" w:rsidP="00120279">
      <w:pPr>
        <w:spacing w:after="0" w:line="264" w:lineRule="auto"/>
        <w:ind w:left="4996" w:firstLine="0"/>
        <w:jc w:val="left"/>
      </w:pPr>
      <w:r>
        <w:rPr>
          <w:rFonts w:ascii="Calibri" w:eastAsia="Calibri" w:hAnsi="Calibri" w:cs="Calibri"/>
          <w:noProof/>
          <w:sz w:val="22"/>
        </w:rPr>
        <mc:AlternateContent>
          <mc:Choice Requires="wpg">
            <w:drawing>
              <wp:inline distT="0" distB="0" distL="0" distR="0" wp14:anchorId="0A9341A9" wp14:editId="4E4A9A5B">
                <wp:extent cx="1969135" cy="18415"/>
                <wp:effectExtent l="0" t="0" r="0" b="0"/>
                <wp:docPr id="8980" name="Group 8980"/>
                <wp:cNvGraphicFramePr/>
                <a:graphic xmlns:a="http://schemas.openxmlformats.org/drawingml/2006/main">
                  <a:graphicData uri="http://schemas.microsoft.com/office/word/2010/wordprocessingGroup">
                    <wpg:wgp>
                      <wpg:cNvGrpSpPr/>
                      <wpg:grpSpPr>
                        <a:xfrm>
                          <a:off x="0" y="0"/>
                          <a:ext cx="1969135" cy="18415"/>
                          <a:chOff x="0" y="0"/>
                          <a:chExt cx="1969135" cy="18415"/>
                        </a:xfrm>
                      </wpg:grpSpPr>
                      <wps:wsp>
                        <wps:cNvPr id="1290" name="Shape 1290"/>
                        <wps:cNvSpPr/>
                        <wps:spPr>
                          <a:xfrm>
                            <a:off x="0" y="0"/>
                            <a:ext cx="1969135" cy="0"/>
                          </a:xfrm>
                          <a:custGeom>
                            <a:avLst/>
                            <a:gdLst/>
                            <a:ahLst/>
                            <a:cxnLst/>
                            <a:rect l="0" t="0" r="0" b="0"/>
                            <a:pathLst>
                              <a:path w="1969135">
                                <a:moveTo>
                                  <a:pt x="0" y="0"/>
                                </a:moveTo>
                                <a:lnTo>
                                  <a:pt x="1969135" y="0"/>
                                </a:lnTo>
                              </a:path>
                            </a:pathLst>
                          </a:custGeom>
                          <a:ln w="18415" cap="flat">
                            <a:custDash>
                              <a:ds d="145000" sp="14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980" style="width:155.05pt;height:1.45pt;mso-position-horizontal-relative:char;mso-position-vertical-relative:line" coordsize="19691,184">
                <v:shape id="Shape 1290" style="position:absolute;width:19691;height:0;left:0;top:0;" coordsize="1969135,0" path="m0,0l1969135,0">
                  <v:stroke weight="1.45pt" endcap="flat" dashstyle="1 1" joinstyle="round" on="true" color="#000000"/>
                  <v:fill on="false" color="#000000" opacity="0"/>
                </v:shape>
              </v:group>
            </w:pict>
          </mc:Fallback>
        </mc:AlternateContent>
      </w:r>
    </w:p>
    <w:p w14:paraId="08311232" w14:textId="77777777" w:rsidR="00001084" w:rsidRDefault="00001084" w:rsidP="00120279">
      <w:pPr>
        <w:spacing w:after="0" w:line="264" w:lineRule="auto"/>
        <w:ind w:left="5082" w:right="1356" w:firstLine="0"/>
        <w:jc w:val="center"/>
      </w:pPr>
      <w:r>
        <w:t>Ing. Petr Kulhánek</w:t>
      </w:r>
    </w:p>
    <w:p w14:paraId="5D93CFAE" w14:textId="77777777" w:rsidR="009D14F1" w:rsidRDefault="00001084" w:rsidP="00120279">
      <w:pPr>
        <w:spacing w:after="0" w:line="264" w:lineRule="auto"/>
        <w:ind w:left="5082" w:right="1356" w:firstLine="0"/>
        <w:jc w:val="center"/>
      </w:pPr>
      <w:r>
        <w:t>hejtman Karlovarského kraje</w:t>
      </w:r>
      <w:r w:rsidR="006F3960">
        <w:t xml:space="preserve"> </w:t>
      </w:r>
    </w:p>
    <w:sectPr w:rsidR="009D14F1">
      <w:footerReference w:type="even" r:id="rId8"/>
      <w:footerReference w:type="default" r:id="rId9"/>
      <w:footerReference w:type="first" r:id="rId10"/>
      <w:pgSz w:w="11918" w:h="16853"/>
      <w:pgMar w:top="757" w:right="1309" w:bottom="1193" w:left="1397" w:header="708" w:footer="70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67A199" w16cex:dateUtc="2024-08-29T10:06:00Z"/>
  <w16cex:commentExtensible w16cex:durableId="5F4725DB" w16cex:dateUtc="2024-08-29T10:09:00Z"/>
  <w16cex:commentExtensible w16cex:durableId="576EC944" w16cex:dateUtc="2024-08-29T1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C98A0" w14:textId="77777777" w:rsidR="004351B5" w:rsidRDefault="004351B5">
      <w:pPr>
        <w:spacing w:after="0" w:line="240" w:lineRule="auto"/>
      </w:pPr>
      <w:r>
        <w:separator/>
      </w:r>
    </w:p>
  </w:endnote>
  <w:endnote w:type="continuationSeparator" w:id="0">
    <w:p w14:paraId="766DDCBC" w14:textId="77777777" w:rsidR="004351B5" w:rsidRDefault="0043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6883A" w14:textId="77777777" w:rsidR="009D14F1" w:rsidRDefault="006F3960">
    <w:pPr>
      <w:spacing w:after="0" w:line="259" w:lineRule="auto"/>
      <w:ind w:left="0" w:right="1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B14DBFB" w14:textId="77777777" w:rsidR="009D14F1" w:rsidRDefault="006F3960">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B846" w14:textId="3C6A6A65" w:rsidR="009D14F1" w:rsidRDefault="006F3960">
    <w:pPr>
      <w:spacing w:after="0" w:line="259" w:lineRule="auto"/>
      <w:ind w:left="0" w:right="14" w:firstLine="0"/>
      <w:jc w:val="center"/>
    </w:pPr>
    <w:r>
      <w:fldChar w:fldCharType="begin"/>
    </w:r>
    <w:r>
      <w:instrText xml:space="preserve"> PAGE   \* MERGEFORMAT </w:instrText>
    </w:r>
    <w:r>
      <w:fldChar w:fldCharType="separate"/>
    </w:r>
    <w:r w:rsidR="00B04A11" w:rsidRPr="00B04A11">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p w14:paraId="2C2F241B" w14:textId="77777777" w:rsidR="009D14F1" w:rsidRDefault="006F3960">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F957" w14:textId="77777777" w:rsidR="009D14F1" w:rsidRDefault="006F3960">
    <w:pPr>
      <w:spacing w:after="0" w:line="259" w:lineRule="auto"/>
      <w:ind w:left="0" w:right="1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67B61BC" w14:textId="77777777" w:rsidR="009D14F1" w:rsidRDefault="006F3960">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85B8" w14:textId="77777777" w:rsidR="004351B5" w:rsidRDefault="004351B5">
      <w:pPr>
        <w:spacing w:after="8" w:line="259" w:lineRule="auto"/>
        <w:ind w:left="0" w:firstLine="0"/>
        <w:jc w:val="left"/>
      </w:pPr>
      <w:r>
        <w:separator/>
      </w:r>
    </w:p>
  </w:footnote>
  <w:footnote w:type="continuationSeparator" w:id="0">
    <w:p w14:paraId="4DA353DC" w14:textId="77777777" w:rsidR="004351B5" w:rsidRDefault="004351B5">
      <w:pPr>
        <w:spacing w:after="8" w:line="259" w:lineRule="auto"/>
        <w:ind w:left="0" w:firstLine="0"/>
        <w:jc w:val="left"/>
      </w:pPr>
      <w:r>
        <w:continuationSeparator/>
      </w:r>
    </w:p>
  </w:footnote>
  <w:footnote w:id="1">
    <w:p w14:paraId="3A9BDEF8" w14:textId="77777777" w:rsidR="009D14F1" w:rsidRDefault="006F3960">
      <w:pPr>
        <w:pStyle w:val="footnotedescription"/>
        <w:spacing w:after="8"/>
      </w:pPr>
      <w:r>
        <w:rPr>
          <w:rStyle w:val="footnotemark"/>
        </w:rPr>
        <w:footnoteRef/>
      </w:r>
      <w:r>
        <w:t xml:space="preserve"> Např. Sdělení Komise - Rámec pro státní podporu výzkumu, vývoje a inovací (2014/C 198/01)</w:t>
      </w:r>
      <w:r>
        <w:rPr>
          <w:rFonts w:ascii="Calibri" w:eastAsia="Calibri" w:hAnsi="Calibri" w:cs="Calibri"/>
          <w:sz w:val="20"/>
        </w:rPr>
        <w:t xml:space="preserve"> </w:t>
      </w:r>
    </w:p>
  </w:footnote>
  <w:footnote w:id="2">
    <w:p w14:paraId="08C5B387" w14:textId="77777777" w:rsidR="009D14F1" w:rsidRDefault="006F3960">
      <w:pPr>
        <w:pStyle w:val="footnotedescription"/>
        <w:spacing w:after="0"/>
      </w:pPr>
      <w:r>
        <w:rPr>
          <w:rStyle w:val="footnotemark"/>
        </w:rPr>
        <w:footnoteRef/>
      </w:r>
      <w:r>
        <w:t xml:space="preserve"> § 26 zákona č. 341/2005 Sb., o veřejných výzkumných institucích, ve znění pozdějších předpisů </w:t>
      </w:r>
    </w:p>
  </w:footnote>
  <w:footnote w:id="3">
    <w:p w14:paraId="2384F6F2" w14:textId="77777777" w:rsidR="009D14F1" w:rsidRDefault="006F3960">
      <w:pPr>
        <w:pStyle w:val="footnotedescription"/>
        <w:spacing w:after="0" w:line="265" w:lineRule="auto"/>
      </w:pPr>
      <w:r>
        <w:rPr>
          <w:rStyle w:val="footnotemark"/>
        </w:rPr>
        <w:footnoteRef/>
      </w:r>
      <w:r>
        <w:t xml:space="preserve"> Např. zákon č. 341/2005 Sb., o veřejných výzkumných institucích, ve znění pozdějších předpisů, zákon č. 90/2012 Sb., o obchodních společnostech a družstvech (zákon o obchodních korporacích), ve znění pozdějších předpisů.</w:t>
      </w:r>
      <w:r>
        <w:rPr>
          <w:rFonts w:ascii="Calibri" w:eastAsia="Calibri" w:hAnsi="Calibri" w:cs="Calibri"/>
          <w:sz w:val="20"/>
        </w:rPr>
        <w:t xml:space="preserve">  </w:t>
      </w:r>
    </w:p>
  </w:footnote>
  <w:footnote w:id="4">
    <w:p w14:paraId="3F025E88" w14:textId="77777777" w:rsidR="009D14F1" w:rsidRDefault="006F3960">
      <w:pPr>
        <w:pStyle w:val="footnotedescription"/>
        <w:spacing w:after="159"/>
      </w:pPr>
      <w:r>
        <w:rPr>
          <w:rStyle w:val="footnotemark"/>
        </w:rPr>
        <w:footnoteRef/>
      </w:r>
      <w:r>
        <w:t xml:space="preserve"> Zákon č. 435/2004 Sb., o zaměstnanosti, ve znění pozdějších předpisů.</w:t>
      </w:r>
      <w:r>
        <w:rPr>
          <w:sz w:val="25"/>
          <w:vertAlign w:val="superscript"/>
        </w:rPr>
        <w:t xml:space="preserve"> </w:t>
      </w:r>
    </w:p>
    <w:p w14:paraId="58F15F39" w14:textId="77777777" w:rsidR="009D14F1" w:rsidRDefault="006F3960">
      <w:pPr>
        <w:pStyle w:val="footnotedescription"/>
        <w:spacing w:after="0"/>
      </w:pPr>
      <w:r>
        <w:rPr>
          <w:rFonts w:ascii="Calibri" w:eastAsia="Calibri" w:hAnsi="Calibri" w:cs="Calibri"/>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F4D"/>
    <w:multiLevelType w:val="hybridMultilevel"/>
    <w:tmpl w:val="1DDCFEAE"/>
    <w:lvl w:ilvl="0" w:tplc="B686A400">
      <w:start w:val="1"/>
      <w:numFmt w:val="decimal"/>
      <w:lvlText w:val="%1."/>
      <w:lvlJc w:val="left"/>
      <w:pPr>
        <w:ind w:left="720" w:hanging="360"/>
      </w:pPr>
      <w:rPr>
        <w:rFonts w:ascii="Arial" w:eastAsia="Arial" w:hAnsi="Arial" w:cs="Arial"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C716E3"/>
    <w:multiLevelType w:val="hybridMultilevel"/>
    <w:tmpl w:val="736424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52259B"/>
    <w:multiLevelType w:val="hybridMultilevel"/>
    <w:tmpl w:val="A3EC2866"/>
    <w:lvl w:ilvl="0" w:tplc="5958D760">
      <w:start w:val="1"/>
      <w:numFmt w:val="decimal"/>
      <w:lvlText w:val="%1."/>
      <w:lvlJc w:val="left"/>
      <w:pPr>
        <w:ind w:left="621"/>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D8445676">
      <w:start w:val="1"/>
      <w:numFmt w:val="lowerLetter"/>
      <w:lvlText w:val="%2"/>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E0E80">
      <w:start w:val="1"/>
      <w:numFmt w:val="lowerRoman"/>
      <w:lvlText w:val="%3"/>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D8EFA2">
      <w:start w:val="1"/>
      <w:numFmt w:val="decimal"/>
      <w:lvlText w:val="%4"/>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0421C">
      <w:start w:val="1"/>
      <w:numFmt w:val="lowerLetter"/>
      <w:lvlText w:val="%5"/>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A6E570">
      <w:start w:val="1"/>
      <w:numFmt w:val="lowerRoman"/>
      <w:lvlText w:val="%6"/>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4F746">
      <w:start w:val="1"/>
      <w:numFmt w:val="decimal"/>
      <w:lvlText w:val="%7"/>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AC0194">
      <w:start w:val="1"/>
      <w:numFmt w:val="lowerLetter"/>
      <w:lvlText w:val="%8"/>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08D5E">
      <w:start w:val="1"/>
      <w:numFmt w:val="lowerRoman"/>
      <w:lvlText w:val="%9"/>
      <w:lvlJc w:val="left"/>
      <w:pPr>
        <w:ind w:left="6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B36B61"/>
    <w:multiLevelType w:val="hybridMultilevel"/>
    <w:tmpl w:val="012A25E8"/>
    <w:lvl w:ilvl="0" w:tplc="91362880">
      <w:start w:val="1"/>
      <w:numFmt w:val="decimal"/>
      <w:lvlText w:val="%1."/>
      <w:lvlJc w:val="left"/>
      <w:pPr>
        <w:ind w:left="358"/>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3CE21F30">
      <w:start w:val="1"/>
      <w:numFmt w:val="lowerLetter"/>
      <w:lvlText w:val="%2"/>
      <w:lvlJc w:val="left"/>
      <w:pPr>
        <w:ind w:left="1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10D938">
      <w:start w:val="1"/>
      <w:numFmt w:val="lowerRoman"/>
      <w:lvlText w:val="%3"/>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F88D38">
      <w:start w:val="1"/>
      <w:numFmt w:val="decimal"/>
      <w:lvlText w:val="%4"/>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FCBCFE">
      <w:start w:val="1"/>
      <w:numFmt w:val="lowerLetter"/>
      <w:lvlText w:val="%5"/>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246BB2">
      <w:start w:val="1"/>
      <w:numFmt w:val="lowerRoman"/>
      <w:lvlText w:val="%6"/>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8CCC2">
      <w:start w:val="1"/>
      <w:numFmt w:val="decimal"/>
      <w:lvlText w:val="%7"/>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C54CA">
      <w:start w:val="1"/>
      <w:numFmt w:val="lowerLetter"/>
      <w:lvlText w:val="%8"/>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4886EC">
      <w:start w:val="1"/>
      <w:numFmt w:val="lowerRoman"/>
      <w:lvlText w:val="%9"/>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D5148C"/>
    <w:multiLevelType w:val="hybridMultilevel"/>
    <w:tmpl w:val="D71C017A"/>
    <w:lvl w:ilvl="0" w:tplc="F4946D0A">
      <w:start w:val="1"/>
      <w:numFmt w:val="decimal"/>
      <w:lvlText w:val="%1."/>
      <w:lvlJc w:val="left"/>
      <w:pPr>
        <w:ind w:left="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5926370">
      <w:start w:val="1"/>
      <w:numFmt w:val="lowerLetter"/>
      <w:lvlText w:val="%2)"/>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CC1FE6">
      <w:start w:val="1"/>
      <w:numFmt w:val="lowerRoman"/>
      <w:lvlText w:val="%3"/>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9857EC">
      <w:start w:val="1"/>
      <w:numFmt w:val="decimal"/>
      <w:lvlText w:val="%4"/>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B66E94">
      <w:start w:val="1"/>
      <w:numFmt w:val="lowerLetter"/>
      <w:lvlText w:val="%5"/>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C5AE">
      <w:start w:val="1"/>
      <w:numFmt w:val="lowerRoman"/>
      <w:lvlText w:val="%6"/>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956">
      <w:start w:val="1"/>
      <w:numFmt w:val="decimal"/>
      <w:lvlText w:val="%7"/>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007844">
      <w:start w:val="1"/>
      <w:numFmt w:val="lowerLetter"/>
      <w:lvlText w:val="%8"/>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32D622">
      <w:start w:val="1"/>
      <w:numFmt w:val="lowerRoman"/>
      <w:lvlText w:val="%9"/>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0E5094"/>
    <w:multiLevelType w:val="hybridMultilevel"/>
    <w:tmpl w:val="3B5A4660"/>
    <w:lvl w:ilvl="0" w:tplc="8E48DD4A">
      <w:start w:val="1"/>
      <w:numFmt w:val="decimal"/>
      <w:lvlText w:val="%1."/>
      <w:lvlJc w:val="left"/>
      <w:pPr>
        <w:ind w:left="5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402902E">
      <w:start w:val="1"/>
      <w:numFmt w:val="lowerLetter"/>
      <w:lvlText w:val="%2)"/>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04D24">
      <w:start w:val="1"/>
      <w:numFmt w:val="lowerRoman"/>
      <w:lvlText w:val="%3"/>
      <w:lvlJc w:val="left"/>
      <w:pPr>
        <w:ind w:left="1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E06308">
      <w:start w:val="1"/>
      <w:numFmt w:val="decimal"/>
      <w:lvlText w:val="%4"/>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258">
      <w:start w:val="1"/>
      <w:numFmt w:val="lowerLetter"/>
      <w:lvlText w:val="%5"/>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16672E">
      <w:start w:val="1"/>
      <w:numFmt w:val="lowerRoman"/>
      <w:lvlText w:val="%6"/>
      <w:lvlJc w:val="left"/>
      <w:pPr>
        <w:ind w:left="3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9AEC08">
      <w:start w:val="1"/>
      <w:numFmt w:val="decimal"/>
      <w:lvlText w:val="%7"/>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D6CABE">
      <w:start w:val="1"/>
      <w:numFmt w:val="lowerLetter"/>
      <w:lvlText w:val="%8"/>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B00164">
      <w:start w:val="1"/>
      <w:numFmt w:val="lowerRoman"/>
      <w:lvlText w:val="%9"/>
      <w:lvlJc w:val="left"/>
      <w:pPr>
        <w:ind w:left="5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CA16A7"/>
    <w:multiLevelType w:val="hybridMultilevel"/>
    <w:tmpl w:val="15ACDFCE"/>
    <w:lvl w:ilvl="0" w:tplc="CF604272">
      <w:start w:val="1"/>
      <w:numFmt w:val="decimal"/>
      <w:lvlText w:val="%1."/>
      <w:lvlJc w:val="left"/>
      <w:pPr>
        <w:ind w:left="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CAE6">
      <w:start w:val="1"/>
      <w:numFmt w:val="lowerLetter"/>
      <w:lvlText w:val="%2"/>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5EFD48">
      <w:start w:val="1"/>
      <w:numFmt w:val="lowerRoman"/>
      <w:lvlText w:val="%3"/>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F03D08">
      <w:start w:val="1"/>
      <w:numFmt w:val="decimal"/>
      <w:lvlText w:val="%4"/>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CAB5B0">
      <w:start w:val="1"/>
      <w:numFmt w:val="lowerLetter"/>
      <w:lvlText w:val="%5"/>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861DFC">
      <w:start w:val="1"/>
      <w:numFmt w:val="lowerRoman"/>
      <w:lvlText w:val="%6"/>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3CE224">
      <w:start w:val="1"/>
      <w:numFmt w:val="decimal"/>
      <w:lvlText w:val="%7"/>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F209C2">
      <w:start w:val="1"/>
      <w:numFmt w:val="lowerLetter"/>
      <w:lvlText w:val="%8"/>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865EA">
      <w:start w:val="1"/>
      <w:numFmt w:val="lowerRoman"/>
      <w:lvlText w:val="%9"/>
      <w:lvlJc w:val="left"/>
      <w:pPr>
        <w:ind w:left="6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2D3444"/>
    <w:multiLevelType w:val="hybridMultilevel"/>
    <w:tmpl w:val="8E9ED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61B3F"/>
    <w:multiLevelType w:val="hybridMultilevel"/>
    <w:tmpl w:val="92B21DA8"/>
    <w:lvl w:ilvl="0" w:tplc="F4946D0A">
      <w:start w:val="1"/>
      <w:numFmt w:val="decimal"/>
      <w:lvlText w:val="%1."/>
      <w:lvlJc w:val="left"/>
      <w:pPr>
        <w:ind w:left="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222BB32">
      <w:start w:val="1"/>
      <w:numFmt w:val="lowerLetter"/>
      <w:lvlText w:val="%2)"/>
      <w:lvlJc w:val="left"/>
      <w:pPr>
        <w:ind w:left="1066"/>
      </w:pPr>
      <w:rPr>
        <w:b w:val="0"/>
        <w:i w:val="0"/>
        <w:strike w:val="0"/>
        <w:dstrike w:val="0"/>
        <w:color w:val="000000"/>
        <w:sz w:val="20"/>
        <w:szCs w:val="20"/>
        <w:u w:val="none" w:color="000000"/>
        <w:bdr w:val="none" w:sz="0" w:space="0" w:color="auto"/>
        <w:shd w:val="clear" w:color="auto" w:fill="auto"/>
        <w:vertAlign w:val="baseline"/>
      </w:rPr>
    </w:lvl>
    <w:lvl w:ilvl="2" w:tplc="4BCC1FE6">
      <w:start w:val="1"/>
      <w:numFmt w:val="lowerRoman"/>
      <w:lvlText w:val="%3"/>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9857EC">
      <w:start w:val="1"/>
      <w:numFmt w:val="decimal"/>
      <w:lvlText w:val="%4"/>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B66E94">
      <w:start w:val="1"/>
      <w:numFmt w:val="lowerLetter"/>
      <w:lvlText w:val="%5"/>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C5AE">
      <w:start w:val="1"/>
      <w:numFmt w:val="lowerRoman"/>
      <w:lvlText w:val="%6"/>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956">
      <w:start w:val="1"/>
      <w:numFmt w:val="decimal"/>
      <w:lvlText w:val="%7"/>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007844">
      <w:start w:val="1"/>
      <w:numFmt w:val="lowerLetter"/>
      <w:lvlText w:val="%8"/>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32D622">
      <w:start w:val="1"/>
      <w:numFmt w:val="lowerRoman"/>
      <w:lvlText w:val="%9"/>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CB72A1"/>
    <w:multiLevelType w:val="hybridMultilevel"/>
    <w:tmpl w:val="B27A8BD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840050"/>
    <w:multiLevelType w:val="hybridMultilevel"/>
    <w:tmpl w:val="0088D9DA"/>
    <w:lvl w:ilvl="0" w:tplc="EDF44A9A">
      <w:start w:val="1"/>
      <w:numFmt w:val="decimal"/>
      <w:lvlText w:val="%1."/>
      <w:lvlJc w:val="left"/>
      <w:pPr>
        <w:ind w:left="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EDA1FE6">
      <w:start w:val="1"/>
      <w:numFmt w:val="lowerLetter"/>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88A5B8">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E6AFE6">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A41D7E">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A30E8">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D43BAE">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0A52DE">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6C90">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BA43D0"/>
    <w:multiLevelType w:val="hybridMultilevel"/>
    <w:tmpl w:val="815AB7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1F49CA"/>
    <w:multiLevelType w:val="hybridMultilevel"/>
    <w:tmpl w:val="FEAA5872"/>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DB54470"/>
    <w:multiLevelType w:val="hybridMultilevel"/>
    <w:tmpl w:val="E85A5508"/>
    <w:lvl w:ilvl="0" w:tplc="378E8960">
      <w:start w:val="1"/>
      <w:numFmt w:val="decimal"/>
      <w:lvlText w:val="%1."/>
      <w:lvlJc w:val="left"/>
      <w:pPr>
        <w:ind w:left="6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824C30">
      <w:start w:val="1"/>
      <w:numFmt w:val="lowerLetter"/>
      <w:lvlText w:val="%2"/>
      <w:lvlJc w:val="left"/>
      <w:pPr>
        <w:ind w:left="14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81C18C0">
      <w:start w:val="1"/>
      <w:numFmt w:val="lowerRoman"/>
      <w:lvlText w:val="%3"/>
      <w:lvlJc w:val="left"/>
      <w:pPr>
        <w:ind w:left="21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8F2813E">
      <w:start w:val="1"/>
      <w:numFmt w:val="decimal"/>
      <w:lvlText w:val="%4"/>
      <w:lvlJc w:val="left"/>
      <w:pPr>
        <w:ind w:left="28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34E4E6A">
      <w:start w:val="1"/>
      <w:numFmt w:val="lowerLetter"/>
      <w:lvlText w:val="%5"/>
      <w:lvlJc w:val="left"/>
      <w:pPr>
        <w:ind w:left="35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6E67502">
      <w:start w:val="1"/>
      <w:numFmt w:val="lowerRoman"/>
      <w:lvlText w:val="%6"/>
      <w:lvlJc w:val="left"/>
      <w:pPr>
        <w:ind w:left="43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0C852C4">
      <w:start w:val="1"/>
      <w:numFmt w:val="decimal"/>
      <w:lvlText w:val="%7"/>
      <w:lvlJc w:val="left"/>
      <w:pPr>
        <w:ind w:left="50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10EE7B6">
      <w:start w:val="1"/>
      <w:numFmt w:val="lowerLetter"/>
      <w:lvlText w:val="%8"/>
      <w:lvlJc w:val="left"/>
      <w:pPr>
        <w:ind w:left="57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B769F5A">
      <w:start w:val="1"/>
      <w:numFmt w:val="lowerRoman"/>
      <w:lvlText w:val="%9"/>
      <w:lvlJc w:val="left"/>
      <w:pPr>
        <w:ind w:left="64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5F83781A"/>
    <w:multiLevelType w:val="hybridMultilevel"/>
    <w:tmpl w:val="81AE6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E8675C"/>
    <w:multiLevelType w:val="hybridMultilevel"/>
    <w:tmpl w:val="2A267DD8"/>
    <w:lvl w:ilvl="0" w:tplc="6B48FFF2">
      <w:start w:val="1"/>
      <w:numFmt w:val="decimal"/>
      <w:lvlText w:val="%1."/>
      <w:lvlJc w:val="left"/>
      <w:pPr>
        <w:ind w:left="695"/>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BD727094">
      <w:start w:val="1"/>
      <w:numFmt w:val="lowerLetter"/>
      <w:lvlText w:val="%2"/>
      <w:lvlJc w:val="left"/>
      <w:pPr>
        <w:ind w:left="13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0CEC378">
      <w:start w:val="1"/>
      <w:numFmt w:val="lowerRoman"/>
      <w:lvlText w:val="%3"/>
      <w:lvlJc w:val="left"/>
      <w:pPr>
        <w:ind w:left="20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1DEE424">
      <w:start w:val="1"/>
      <w:numFmt w:val="decimal"/>
      <w:lvlText w:val="%4"/>
      <w:lvlJc w:val="left"/>
      <w:pPr>
        <w:ind w:left="27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3CA243E">
      <w:start w:val="1"/>
      <w:numFmt w:val="lowerLetter"/>
      <w:lvlText w:val="%5"/>
      <w:lvlJc w:val="left"/>
      <w:pPr>
        <w:ind w:left="34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DB6646A">
      <w:start w:val="1"/>
      <w:numFmt w:val="lowerRoman"/>
      <w:lvlText w:val="%6"/>
      <w:lvlJc w:val="left"/>
      <w:pPr>
        <w:ind w:left="41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D8CF40C">
      <w:start w:val="1"/>
      <w:numFmt w:val="decimal"/>
      <w:lvlText w:val="%7"/>
      <w:lvlJc w:val="left"/>
      <w:pPr>
        <w:ind w:left="49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D16413C">
      <w:start w:val="1"/>
      <w:numFmt w:val="lowerLetter"/>
      <w:lvlText w:val="%8"/>
      <w:lvlJc w:val="left"/>
      <w:pPr>
        <w:ind w:left="56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E389AF6">
      <w:start w:val="1"/>
      <w:numFmt w:val="lowerRoman"/>
      <w:lvlText w:val="%9"/>
      <w:lvlJc w:val="left"/>
      <w:pPr>
        <w:ind w:left="6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3"/>
  </w:num>
  <w:num w:numId="2">
    <w:abstractNumId w:val="5"/>
  </w:num>
  <w:num w:numId="3">
    <w:abstractNumId w:val="15"/>
  </w:num>
  <w:num w:numId="4">
    <w:abstractNumId w:val="6"/>
  </w:num>
  <w:num w:numId="5">
    <w:abstractNumId w:val="4"/>
  </w:num>
  <w:num w:numId="6">
    <w:abstractNumId w:val="10"/>
  </w:num>
  <w:num w:numId="7">
    <w:abstractNumId w:val="2"/>
  </w:num>
  <w:num w:numId="8">
    <w:abstractNumId w:val="13"/>
  </w:num>
  <w:num w:numId="9">
    <w:abstractNumId w:val="12"/>
  </w:num>
  <w:num w:numId="10">
    <w:abstractNumId w:val="14"/>
  </w:num>
  <w:num w:numId="11">
    <w:abstractNumId w:val="0"/>
  </w:num>
  <w:num w:numId="12">
    <w:abstractNumId w:val="11"/>
  </w:num>
  <w:num w:numId="13">
    <w:abstractNumId w:val="8"/>
  </w:num>
  <w:num w:numId="14">
    <w:abstractNumId w:val="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F1"/>
    <w:rsid w:val="00001084"/>
    <w:rsid w:val="000643B1"/>
    <w:rsid w:val="00091478"/>
    <w:rsid w:val="000A3FA2"/>
    <w:rsid w:val="000B17A5"/>
    <w:rsid w:val="000B6C2C"/>
    <w:rsid w:val="000F6238"/>
    <w:rsid w:val="00117B28"/>
    <w:rsid w:val="00120279"/>
    <w:rsid w:val="001255EE"/>
    <w:rsid w:val="001B2B89"/>
    <w:rsid w:val="00210747"/>
    <w:rsid w:val="002131AE"/>
    <w:rsid w:val="00226F65"/>
    <w:rsid w:val="00294A44"/>
    <w:rsid w:val="002A54D8"/>
    <w:rsid w:val="002E1BC2"/>
    <w:rsid w:val="00315EA3"/>
    <w:rsid w:val="003527BD"/>
    <w:rsid w:val="0036429F"/>
    <w:rsid w:val="00384D1F"/>
    <w:rsid w:val="00385A0C"/>
    <w:rsid w:val="003A4A84"/>
    <w:rsid w:val="003A7F7F"/>
    <w:rsid w:val="003B3E1A"/>
    <w:rsid w:val="003B4A8E"/>
    <w:rsid w:val="003C152A"/>
    <w:rsid w:val="003E12CC"/>
    <w:rsid w:val="003E1956"/>
    <w:rsid w:val="004351B5"/>
    <w:rsid w:val="0044265E"/>
    <w:rsid w:val="00445D82"/>
    <w:rsid w:val="00464A3A"/>
    <w:rsid w:val="004B3229"/>
    <w:rsid w:val="004E0A7F"/>
    <w:rsid w:val="004F75B4"/>
    <w:rsid w:val="005170C2"/>
    <w:rsid w:val="00535A48"/>
    <w:rsid w:val="00557B3B"/>
    <w:rsid w:val="00571385"/>
    <w:rsid w:val="005A069E"/>
    <w:rsid w:val="006540B4"/>
    <w:rsid w:val="00656591"/>
    <w:rsid w:val="00670E24"/>
    <w:rsid w:val="00695C24"/>
    <w:rsid w:val="006F3960"/>
    <w:rsid w:val="0071657A"/>
    <w:rsid w:val="0076585B"/>
    <w:rsid w:val="007A04E0"/>
    <w:rsid w:val="00807B3E"/>
    <w:rsid w:val="0082757E"/>
    <w:rsid w:val="008302D1"/>
    <w:rsid w:val="008B53AE"/>
    <w:rsid w:val="008B6B70"/>
    <w:rsid w:val="00923C04"/>
    <w:rsid w:val="009828C5"/>
    <w:rsid w:val="009A640B"/>
    <w:rsid w:val="009D0CFB"/>
    <w:rsid w:val="009D14F1"/>
    <w:rsid w:val="00A63682"/>
    <w:rsid w:val="00A775E6"/>
    <w:rsid w:val="00A81FC4"/>
    <w:rsid w:val="00A8711B"/>
    <w:rsid w:val="00A95E91"/>
    <w:rsid w:val="00AA287B"/>
    <w:rsid w:val="00AF17AD"/>
    <w:rsid w:val="00B04A11"/>
    <w:rsid w:val="00B06F2E"/>
    <w:rsid w:val="00B32FE5"/>
    <w:rsid w:val="00B34054"/>
    <w:rsid w:val="00B40FF9"/>
    <w:rsid w:val="00B5233F"/>
    <w:rsid w:val="00B64667"/>
    <w:rsid w:val="00B65250"/>
    <w:rsid w:val="00BB6AE7"/>
    <w:rsid w:val="00BB7786"/>
    <w:rsid w:val="00C20E66"/>
    <w:rsid w:val="00C70E11"/>
    <w:rsid w:val="00CB7336"/>
    <w:rsid w:val="00D336F7"/>
    <w:rsid w:val="00DB0F53"/>
    <w:rsid w:val="00DB23C5"/>
    <w:rsid w:val="00E077BC"/>
    <w:rsid w:val="00E6428F"/>
    <w:rsid w:val="00E8060A"/>
    <w:rsid w:val="00E821A5"/>
    <w:rsid w:val="00E84A1A"/>
    <w:rsid w:val="00EB6046"/>
    <w:rsid w:val="00EC4E2E"/>
    <w:rsid w:val="00F11721"/>
    <w:rsid w:val="00F54453"/>
    <w:rsid w:val="00F74E4A"/>
    <w:rsid w:val="00F933D9"/>
    <w:rsid w:val="00FE071E"/>
    <w:rsid w:val="00FF2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552B"/>
  <w15:docId w15:val="{8EEAF408-4998-4828-8227-1CA0F958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38" w:line="252" w:lineRule="auto"/>
      <w:ind w:left="358" w:hanging="358"/>
      <w:jc w:val="both"/>
    </w:pPr>
    <w:rPr>
      <w:rFonts w:ascii="Verdana" w:eastAsia="Verdana" w:hAnsi="Verdana" w:cs="Verdana"/>
      <w:color w:val="000000"/>
      <w:sz w:val="20"/>
    </w:rPr>
  </w:style>
  <w:style w:type="paragraph" w:styleId="Nadpis1">
    <w:name w:val="heading 1"/>
    <w:next w:val="Normln"/>
    <w:link w:val="Nadpis1Char"/>
    <w:uiPriority w:val="9"/>
    <w:qFormat/>
    <w:pPr>
      <w:keepNext/>
      <w:keepLines/>
      <w:spacing w:after="0" w:line="263" w:lineRule="auto"/>
      <w:ind w:left="10" w:right="18" w:hanging="10"/>
      <w:jc w:val="center"/>
      <w:outlineLvl w:val="0"/>
    </w:pPr>
    <w:rPr>
      <w:rFonts w:ascii="Verdana" w:eastAsia="Verdana" w:hAnsi="Verdana" w:cs="Verdana"/>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Verdana" w:eastAsia="Verdana" w:hAnsi="Verdana" w:cs="Verdana"/>
      <w:b/>
      <w:color w:val="000000"/>
      <w:sz w:val="20"/>
    </w:rPr>
  </w:style>
  <w:style w:type="paragraph" w:customStyle="1" w:styleId="footnotedescription">
    <w:name w:val="footnote description"/>
    <w:next w:val="Normln"/>
    <w:link w:val="footnotedescriptionChar"/>
    <w:hidden/>
    <w:pPr>
      <w:spacing w:after="4"/>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paragraph" w:styleId="Odstavecseseznamem">
    <w:name w:val="List Paragraph"/>
    <w:basedOn w:val="Normln"/>
    <w:uiPriority w:val="34"/>
    <w:qFormat/>
    <w:rsid w:val="00A775E6"/>
    <w:pPr>
      <w:ind w:left="720"/>
      <w:contextualSpacing/>
    </w:pPr>
  </w:style>
  <w:style w:type="paragraph" w:styleId="Textbubliny">
    <w:name w:val="Balloon Text"/>
    <w:basedOn w:val="Normln"/>
    <w:link w:val="TextbublinyChar"/>
    <w:uiPriority w:val="99"/>
    <w:semiHidden/>
    <w:unhideWhenUsed/>
    <w:rsid w:val="002A54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54D8"/>
    <w:rPr>
      <w:rFonts w:ascii="Segoe UI" w:eastAsia="Verdana" w:hAnsi="Segoe UI" w:cs="Segoe UI"/>
      <w:color w:val="000000"/>
      <w:sz w:val="18"/>
      <w:szCs w:val="18"/>
    </w:rPr>
  </w:style>
  <w:style w:type="paragraph" w:styleId="Revize">
    <w:name w:val="Revision"/>
    <w:hidden/>
    <w:uiPriority w:val="99"/>
    <w:semiHidden/>
    <w:rsid w:val="000643B1"/>
    <w:pPr>
      <w:spacing w:after="0" w:line="240" w:lineRule="auto"/>
    </w:pPr>
    <w:rPr>
      <w:rFonts w:ascii="Verdana" w:eastAsia="Verdana" w:hAnsi="Verdana" w:cs="Verdana"/>
      <w:color w:val="000000"/>
      <w:sz w:val="20"/>
    </w:rPr>
  </w:style>
  <w:style w:type="character" w:styleId="Odkaznakoment">
    <w:name w:val="annotation reference"/>
    <w:basedOn w:val="Standardnpsmoodstavce"/>
    <w:uiPriority w:val="99"/>
    <w:semiHidden/>
    <w:unhideWhenUsed/>
    <w:rsid w:val="00C70E11"/>
    <w:rPr>
      <w:sz w:val="16"/>
      <w:szCs w:val="16"/>
    </w:rPr>
  </w:style>
  <w:style w:type="paragraph" w:styleId="Textkomente">
    <w:name w:val="annotation text"/>
    <w:basedOn w:val="Normln"/>
    <w:link w:val="TextkomenteChar"/>
    <w:uiPriority w:val="99"/>
    <w:unhideWhenUsed/>
    <w:rsid w:val="00C70E11"/>
    <w:pPr>
      <w:spacing w:line="240" w:lineRule="auto"/>
    </w:pPr>
    <w:rPr>
      <w:szCs w:val="20"/>
    </w:rPr>
  </w:style>
  <w:style w:type="character" w:customStyle="1" w:styleId="TextkomenteChar">
    <w:name w:val="Text komentáře Char"/>
    <w:basedOn w:val="Standardnpsmoodstavce"/>
    <w:link w:val="Textkomente"/>
    <w:uiPriority w:val="99"/>
    <w:rsid w:val="00C70E11"/>
    <w:rPr>
      <w:rFonts w:ascii="Verdana" w:eastAsia="Verdana" w:hAnsi="Verdana" w:cs="Verdana"/>
      <w:color w:val="000000"/>
      <w:sz w:val="20"/>
      <w:szCs w:val="20"/>
    </w:rPr>
  </w:style>
  <w:style w:type="paragraph" w:styleId="Pedmtkomente">
    <w:name w:val="annotation subject"/>
    <w:basedOn w:val="Textkomente"/>
    <w:next w:val="Textkomente"/>
    <w:link w:val="PedmtkomenteChar"/>
    <w:uiPriority w:val="99"/>
    <w:semiHidden/>
    <w:unhideWhenUsed/>
    <w:rsid w:val="00C70E11"/>
    <w:rPr>
      <w:b/>
      <w:bCs/>
    </w:rPr>
  </w:style>
  <w:style w:type="character" w:customStyle="1" w:styleId="PedmtkomenteChar">
    <w:name w:val="Předmět komentáře Char"/>
    <w:basedOn w:val="TextkomenteChar"/>
    <w:link w:val="Pedmtkomente"/>
    <w:uiPriority w:val="99"/>
    <w:semiHidden/>
    <w:rsid w:val="00C70E11"/>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F3201-2ABF-42AA-AD0B-47FE8EA2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13308</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kunssbergerd</dc:creator>
  <cp:keywords/>
  <cp:lastModifiedBy>Valentová Marie</cp:lastModifiedBy>
  <cp:revision>2</cp:revision>
  <cp:lastPrinted>2024-08-29T11:54:00Z</cp:lastPrinted>
  <dcterms:created xsi:type="dcterms:W3CDTF">2024-09-11T09:36:00Z</dcterms:created>
  <dcterms:modified xsi:type="dcterms:W3CDTF">2024-09-11T09:36:00Z</dcterms:modified>
</cp:coreProperties>
</file>