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7959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 xml:space="preserve">My jako pobytová soc. služba budeme mít za letošní rok cca Kč 1.500,00 jako Úhrady od uživatelů za fakultativní služby. </w:t>
      </w:r>
    </w:p>
    <w:p w14:paraId="415D15BC" w14:textId="395FBFCF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>Tuto částku budu vykazovat v části F zdroje ZZ. Ale nevím</w:t>
      </w:r>
      <w:r w:rsidR="003B52DE" w:rsidRPr="006E3BA9">
        <w:rPr>
          <w:rFonts w:ascii="Arial" w:hAnsi="Arial" w:cs="Arial"/>
          <w:sz w:val="20"/>
          <w:szCs w:val="20"/>
        </w:rPr>
        <w:t>,</w:t>
      </w:r>
      <w:r w:rsidRPr="006E3BA9">
        <w:rPr>
          <w:rFonts w:ascii="Arial" w:hAnsi="Arial" w:cs="Arial"/>
          <w:sz w:val="20"/>
          <w:szCs w:val="20"/>
        </w:rPr>
        <w:t xml:space="preserve"> jak si mám poradit s rozdělením v části D a E  Vždy se jedná o pracovníka v přímé péči, který ten den slouží a řidiče, který vyveze klienta za službou (kadeřnice, pedikúra, nákupy).</w:t>
      </w:r>
    </w:p>
    <w:p w14:paraId="1EB8F1B2" w14:textId="77777777" w:rsidR="003B52DE" w:rsidRPr="006E3BA9" w:rsidRDefault="003B52DE" w:rsidP="003B52DE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63421918" w14:textId="796C4FE0" w:rsidR="00011AE7" w:rsidRPr="006E3BA9" w:rsidRDefault="008C4AF7" w:rsidP="00FD3472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4EA258A1" w14:textId="34ABD6D8" w:rsidR="001A19D4" w:rsidRPr="006E3BA9" w:rsidRDefault="00EF6BE0" w:rsidP="00EF6BE0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MPSV vydalo Doporučený postup č. 4/2013 k zajišťování fakultativních činností pro poskytování sociálních služeb, následně pak ještě doplňující materiál k tomuto Doporučenému postupu s názvem Otázky a odpovědi k nastavení fakultativních činností v sociálních službách. V těchto dokumentech naleznete informace k poskytování fakultativních činností.</w:t>
      </w:r>
      <w:r w:rsidR="0020686D" w:rsidRPr="006E3BA9">
        <w:rPr>
          <w:rFonts w:ascii="Arial" w:hAnsi="Arial" w:cs="Arial"/>
          <w:color w:val="0070C0"/>
          <w:sz w:val="20"/>
          <w:szCs w:val="20"/>
        </w:rPr>
        <w:t xml:space="preserve"> </w:t>
      </w:r>
      <w:r w:rsidR="001A19D4" w:rsidRPr="006E3BA9">
        <w:rPr>
          <w:rFonts w:ascii="Arial" w:hAnsi="Arial" w:cs="Arial"/>
          <w:color w:val="0070C0"/>
          <w:sz w:val="20"/>
          <w:szCs w:val="20"/>
        </w:rPr>
        <w:t xml:space="preserve">(Odkaz ke stažení dokumentů naleznete zde: </w:t>
      </w:r>
      <w:hyperlink r:id="rId6" w:history="1">
        <w:r w:rsidR="001A19D4" w:rsidRPr="006E3BA9">
          <w:rPr>
            <w:rStyle w:val="Hypertextovodkaz"/>
            <w:rFonts w:ascii="Arial" w:hAnsi="Arial" w:cs="Arial"/>
            <w:sz w:val="20"/>
            <w:szCs w:val="20"/>
          </w:rPr>
          <w:t>Stanoviska a doporučené postupy (mpsv.cz)</w:t>
        </w:r>
      </w:hyperlink>
    </w:p>
    <w:p w14:paraId="0B3AF2B6" w14:textId="548B5298" w:rsidR="00EF6BE0" w:rsidRPr="006E3BA9" w:rsidRDefault="00EF6BE0" w:rsidP="00EF6BE0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Po prostudování Doporučeného postupu a doplňujícího materiálu lze shrnout, že doprava autem poskytovatele se má vždy klientovi naúčtovat jako fakultativní činnost, stejně tak práce řidiče. U pracovníka v přímé péči už je to složitější, tam by se mohlo jednat o základní činnost sociální služby – zprostředkování kontaktu se společenským prostředím. V tom případě by se úvazek pracovníka v přímé péči v části D ZZ nerozděloval.</w:t>
      </w:r>
    </w:p>
    <w:p w14:paraId="48875B10" w14:textId="77777777" w:rsidR="00FF2C4F" w:rsidRPr="006E3BA9" w:rsidRDefault="00FF2C4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A37405D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</w:p>
    <w:p w14:paraId="54ACF6BE" w14:textId="390659CA" w:rsidR="00FD3472" w:rsidRPr="006E3BA9" w:rsidRDefault="00615707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 xml:space="preserve">Jakým </w:t>
      </w:r>
      <w:r w:rsidR="00FD3472" w:rsidRPr="006E3BA9">
        <w:rPr>
          <w:rFonts w:ascii="Arial" w:hAnsi="Arial" w:cs="Arial"/>
          <w:sz w:val="20"/>
          <w:szCs w:val="20"/>
        </w:rPr>
        <w:t xml:space="preserve">typem elektronického podpisu se mají podepisovat závěrečné zprávy? Komerčním certifikátem? </w:t>
      </w:r>
    </w:p>
    <w:p w14:paraId="3AB581B5" w14:textId="69532186" w:rsidR="000A1314" w:rsidRPr="006E3BA9" w:rsidRDefault="000A1314" w:rsidP="00FD3472">
      <w:pPr>
        <w:rPr>
          <w:rFonts w:ascii="Arial" w:hAnsi="Arial" w:cs="Arial"/>
          <w:sz w:val="20"/>
          <w:szCs w:val="20"/>
          <w:lang w:eastAsia="cs-CZ"/>
        </w:rPr>
      </w:pPr>
    </w:p>
    <w:p w14:paraId="3539EE38" w14:textId="59699965" w:rsidR="00CC49AE" w:rsidRPr="006E3BA9" w:rsidRDefault="008C4AF7" w:rsidP="00FD3472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603DD1F2" w14:textId="77777777" w:rsidR="000A1314" w:rsidRPr="006E3BA9" w:rsidRDefault="000A1314" w:rsidP="000A1314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  <w:lang w:eastAsia="cs-CZ"/>
        </w:rPr>
        <w:t xml:space="preserve">Závěrečné zprávy podepisujte podle zákona 297/2016 Sb. – o službách vytvářejících důvěru pro elektronické transakce – podle </w:t>
      </w:r>
      <w:r w:rsidRPr="006E3BA9">
        <w:rPr>
          <w:rFonts w:ascii="Arial" w:hAnsi="Arial" w:cs="Arial"/>
          <w:color w:val="0070C0"/>
          <w:sz w:val="20"/>
          <w:szCs w:val="20"/>
        </w:rPr>
        <w:t xml:space="preserve">§ 6 </w:t>
      </w:r>
    </w:p>
    <w:p w14:paraId="3EAC1EE9" w14:textId="77777777" w:rsidR="000A1314" w:rsidRPr="006E3BA9" w:rsidRDefault="000A1314" w:rsidP="000A1314">
      <w:pPr>
        <w:rPr>
          <w:rFonts w:ascii="Arial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hAnsi="Arial" w:cs="Arial"/>
          <w:color w:val="0070C0"/>
          <w:sz w:val="20"/>
          <w:szCs w:val="20"/>
          <w:lang w:eastAsia="cs-CZ"/>
        </w:rPr>
        <w:t xml:space="preserve">(1) K podepisování elektronickým podpisem lze použít pouze </w:t>
      </w:r>
      <w:r w:rsidRPr="006E3BA9">
        <w:rPr>
          <w:rFonts w:ascii="Arial" w:hAnsi="Arial" w:cs="Arial"/>
          <w:b/>
          <w:color w:val="0070C0"/>
          <w:sz w:val="20"/>
          <w:szCs w:val="20"/>
          <w:lang w:eastAsia="cs-CZ"/>
        </w:rPr>
        <w:t>uznávaný elektronický podpis</w:t>
      </w:r>
      <w:r w:rsidRPr="006E3BA9">
        <w:rPr>
          <w:rFonts w:ascii="Arial" w:hAnsi="Arial" w:cs="Arial"/>
          <w:color w:val="0070C0"/>
          <w:sz w:val="20"/>
          <w:szCs w:val="20"/>
          <w:lang w:eastAsia="cs-CZ"/>
        </w:rPr>
        <w:t xml:space="preserve">, podepisuje-li se elektronický dokument, kterým se činí úkon vůči veřejnoprávnímu podepisujícímu nebo jiné osobě v souvislosti s výkonem jejich působnosti.  </w:t>
      </w:r>
    </w:p>
    <w:p w14:paraId="6C2A9CFE" w14:textId="77777777" w:rsidR="000A1314" w:rsidRPr="006E3BA9" w:rsidRDefault="000A1314" w:rsidP="000A1314">
      <w:pPr>
        <w:rPr>
          <w:rFonts w:ascii="Arial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hAnsi="Arial" w:cs="Arial"/>
          <w:color w:val="0070C0"/>
          <w:sz w:val="20"/>
          <w:szCs w:val="20"/>
          <w:lang w:eastAsia="cs-CZ"/>
        </w:rPr>
        <w:t xml:space="preserve">(2) Uznávaným elektronickým podpisem se rozumí zaručený elektronický podpis založený na kvalifikovaném certifikátu pro elektronický podpis nebo kvalifikovaný elektronický podpis. </w:t>
      </w:r>
    </w:p>
    <w:p w14:paraId="22786C2F" w14:textId="6FF03947" w:rsidR="00FF2C4F" w:rsidRPr="008C4AF7" w:rsidRDefault="000A1314" w:rsidP="000A1314">
      <w:pPr>
        <w:rPr>
          <w:rFonts w:ascii="Arial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hAnsi="Arial" w:cs="Arial"/>
          <w:color w:val="0070C0"/>
          <w:sz w:val="20"/>
          <w:szCs w:val="20"/>
          <w:lang w:eastAsia="cs-CZ"/>
        </w:rPr>
        <w:t xml:space="preserve">Certifikát musí být platný, prosíme o kontrolu konce platnosti certifikátu.  Na certifikátu </w:t>
      </w:r>
      <w:r w:rsidR="00CA2336" w:rsidRPr="006E3BA9">
        <w:rPr>
          <w:rFonts w:ascii="Arial" w:hAnsi="Arial" w:cs="Arial"/>
          <w:color w:val="0070C0"/>
          <w:sz w:val="20"/>
          <w:szCs w:val="20"/>
          <w:lang w:eastAsia="cs-CZ"/>
        </w:rPr>
        <w:t>musí</w:t>
      </w:r>
      <w:r w:rsidRPr="006E3BA9">
        <w:rPr>
          <w:rFonts w:ascii="Arial" w:hAnsi="Arial" w:cs="Arial"/>
          <w:color w:val="0070C0"/>
          <w:sz w:val="20"/>
          <w:szCs w:val="20"/>
          <w:lang w:eastAsia="cs-CZ"/>
        </w:rPr>
        <w:t xml:space="preserve"> být uvedeno PostSignum Qualified CA.</w:t>
      </w:r>
    </w:p>
    <w:p w14:paraId="7AB6C74B" w14:textId="77777777" w:rsidR="009A553E" w:rsidRPr="006E3BA9" w:rsidRDefault="009A553E" w:rsidP="00FD3472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eastAsia="cs-CZ"/>
        </w:rPr>
      </w:pPr>
    </w:p>
    <w:p w14:paraId="51086F0C" w14:textId="77777777" w:rsidR="009A553E" w:rsidRPr="006E3BA9" w:rsidRDefault="009A553E" w:rsidP="00FD3472">
      <w:pPr>
        <w:rPr>
          <w:rFonts w:ascii="Arial" w:hAnsi="Arial" w:cs="Arial"/>
          <w:color w:val="1F497D"/>
          <w:sz w:val="20"/>
          <w:szCs w:val="20"/>
        </w:rPr>
      </w:pPr>
    </w:p>
    <w:p w14:paraId="47D35D3B" w14:textId="3D273F16" w:rsidR="00FD3472" w:rsidRPr="006E3BA9" w:rsidRDefault="00615707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>J</w:t>
      </w:r>
      <w:r w:rsidR="00FD3472" w:rsidRPr="006E3BA9">
        <w:rPr>
          <w:rFonts w:ascii="Arial" w:hAnsi="Arial" w:cs="Arial"/>
          <w:sz w:val="20"/>
          <w:szCs w:val="20"/>
        </w:rPr>
        <w:t>e u služby Sociálně terapeutické dílny, která je zahrnuta v programu prevence II. nadále součástí závěrečné zprávy tabulka Vyúčtování výdajů?</w:t>
      </w:r>
    </w:p>
    <w:p w14:paraId="607CEC8B" w14:textId="77777777" w:rsidR="00A57152" w:rsidRPr="006E3BA9" w:rsidRDefault="00A57152" w:rsidP="00FD3472">
      <w:pPr>
        <w:rPr>
          <w:rStyle w:val="Hypertextovodkaz"/>
          <w:rFonts w:ascii="Arial" w:hAnsi="Arial" w:cs="Arial"/>
          <w:color w:val="0000FF"/>
          <w:sz w:val="20"/>
          <w:szCs w:val="20"/>
          <w:lang w:eastAsia="cs-CZ"/>
        </w:rPr>
      </w:pPr>
    </w:p>
    <w:p w14:paraId="682BC1E2" w14:textId="3B29A6F5" w:rsidR="00CC49AE" w:rsidRPr="006E3BA9" w:rsidRDefault="008C4AF7" w:rsidP="00CC49A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338B77C0" w14:textId="612FED56" w:rsidR="00A57152" w:rsidRPr="006E3BA9" w:rsidRDefault="00A57152" w:rsidP="00FD3472">
      <w:pPr>
        <w:rPr>
          <w:rStyle w:val="Hypertextovodkaz"/>
          <w:rFonts w:ascii="Arial" w:hAnsi="Arial" w:cs="Arial"/>
          <w:color w:val="0070C0"/>
          <w:sz w:val="20"/>
          <w:szCs w:val="20"/>
          <w:u w:val="none"/>
          <w:lang w:eastAsia="cs-CZ"/>
        </w:rPr>
      </w:pPr>
      <w:r w:rsidRPr="006E3BA9">
        <w:rPr>
          <w:rStyle w:val="Hypertextovodkaz"/>
          <w:rFonts w:ascii="Arial" w:hAnsi="Arial" w:cs="Arial"/>
          <w:color w:val="0070C0"/>
          <w:sz w:val="20"/>
          <w:szCs w:val="20"/>
          <w:u w:val="none"/>
          <w:lang w:eastAsia="cs-CZ"/>
        </w:rPr>
        <w:t>Ano, nadále zůstává</w:t>
      </w:r>
      <w:r w:rsidR="00FF2C4F" w:rsidRPr="006E3BA9">
        <w:rPr>
          <w:rStyle w:val="Hypertextovodkaz"/>
          <w:rFonts w:ascii="Arial" w:hAnsi="Arial" w:cs="Arial"/>
          <w:color w:val="0070C0"/>
          <w:sz w:val="20"/>
          <w:szCs w:val="20"/>
          <w:u w:val="none"/>
          <w:lang w:eastAsia="cs-CZ"/>
        </w:rPr>
        <w:t xml:space="preserve"> za rok 2021 povinnost předložit tabulky s vyúčtováním výdajů v rámci projektu prevence II.</w:t>
      </w:r>
    </w:p>
    <w:p w14:paraId="087DBFC5" w14:textId="77777777" w:rsidR="009A553E" w:rsidRPr="006E3BA9" w:rsidRDefault="009A553E" w:rsidP="00FD3472">
      <w:pPr>
        <w:rPr>
          <w:rStyle w:val="Hypertextovodkaz"/>
          <w:rFonts w:ascii="Arial" w:hAnsi="Arial" w:cs="Arial"/>
          <w:color w:val="0070C0"/>
          <w:sz w:val="20"/>
          <w:szCs w:val="20"/>
          <w:u w:val="none"/>
          <w:lang w:eastAsia="cs-CZ"/>
        </w:rPr>
      </w:pPr>
    </w:p>
    <w:p w14:paraId="5B3292D3" w14:textId="77777777" w:rsidR="009A553E" w:rsidRPr="006E3BA9" w:rsidRDefault="009A553E" w:rsidP="009A553E">
      <w:pPr>
        <w:rPr>
          <w:rFonts w:ascii="Arial" w:hAnsi="Arial" w:cs="Arial"/>
          <w:b/>
          <w:color w:val="0070C0"/>
          <w:sz w:val="20"/>
          <w:szCs w:val="20"/>
        </w:rPr>
      </w:pPr>
      <w:r w:rsidRPr="006E3BA9">
        <w:rPr>
          <w:rStyle w:val="Hypertextovodkaz"/>
          <w:rFonts w:ascii="Arial" w:hAnsi="Arial" w:cs="Arial"/>
          <w:color w:val="0070C0"/>
          <w:sz w:val="20"/>
          <w:szCs w:val="20"/>
          <w:u w:val="none"/>
          <w:lang w:eastAsia="cs-CZ"/>
        </w:rPr>
        <w:t xml:space="preserve">Viz veřejnoprávní smlouva - </w:t>
      </w:r>
      <w:r w:rsidRPr="006E3BA9">
        <w:rPr>
          <w:rFonts w:ascii="Arial" w:hAnsi="Arial" w:cs="Arial"/>
          <w:b/>
          <w:color w:val="0070C0"/>
          <w:sz w:val="20"/>
          <w:szCs w:val="20"/>
        </w:rPr>
        <w:t>Čl. VI.</w:t>
      </w:r>
    </w:p>
    <w:p w14:paraId="3E379393" w14:textId="2F4BF356" w:rsidR="009A553E" w:rsidRPr="006E3BA9" w:rsidRDefault="009A553E" w:rsidP="00EF6BE0">
      <w:pPr>
        <w:pStyle w:val="Odstavecseseznamem"/>
        <w:ind w:left="720"/>
        <w:jc w:val="both"/>
        <w:rPr>
          <w:rFonts w:ascii="Arial" w:hAnsi="Arial" w:cs="Arial"/>
          <w:color w:val="0070C0"/>
          <w:sz w:val="20"/>
          <w:szCs w:val="20"/>
        </w:rPr>
      </w:pPr>
    </w:p>
    <w:p w14:paraId="5106A65E" w14:textId="654E5073" w:rsidR="00011AE7" w:rsidRPr="006E3BA9" w:rsidRDefault="00EF6BE0" w:rsidP="008C4AF7">
      <w:pPr>
        <w:ind w:left="360"/>
        <w:jc w:val="both"/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 xml:space="preserve">16. </w:t>
      </w:r>
      <w:r w:rsidR="009A553E" w:rsidRPr="006E3BA9">
        <w:rPr>
          <w:rFonts w:ascii="Arial" w:hAnsi="Arial" w:cs="Arial"/>
          <w:color w:val="0070C0"/>
          <w:sz w:val="20"/>
          <w:szCs w:val="20"/>
        </w:rPr>
        <w:t>Příjemce je v souladu s aktuální verzí Specifické části pravidel pro žadatele a příjemce pro projekty se skutečně vzniklými výdaji a případně také s nepřímými náklady (</w:t>
      </w:r>
      <w:hyperlink r:id="rId7" w:history="1">
        <w:r w:rsidR="009A553E" w:rsidRPr="006E3BA9">
          <w:rPr>
            <w:rStyle w:val="Hypertextovodkaz"/>
            <w:rFonts w:ascii="Arial" w:hAnsi="Arial" w:cs="Arial"/>
            <w:color w:val="0070C0"/>
            <w:sz w:val="20"/>
            <w:szCs w:val="20"/>
          </w:rPr>
          <w:t>https://www.esfcr.cz/pravidla-pro-zadatele-a-prijemce-opz</w:t>
        </w:r>
      </w:hyperlink>
      <w:r w:rsidR="009A553E" w:rsidRPr="006E3BA9">
        <w:rPr>
          <w:rFonts w:ascii="Arial" w:hAnsi="Arial" w:cs="Arial"/>
          <w:color w:val="0070C0"/>
          <w:sz w:val="20"/>
          <w:szCs w:val="20"/>
        </w:rPr>
        <w:t xml:space="preserve">) povinen předložit odboru sociálních věcí tabulky s vyúčtováním výdajů v rámci projektu prevence za období od 1. 1. 2021 do 31. 12. 2021, a to nejpozději do 20. 1. 2022. Vzor tabulky je zveřejněn na portálu </w:t>
      </w:r>
      <w:hyperlink r:id="rId8" w:history="1">
        <w:r w:rsidR="009A553E" w:rsidRPr="006E3BA9">
          <w:rPr>
            <w:rStyle w:val="Hypertextovodkaz"/>
            <w:rFonts w:ascii="Arial" w:hAnsi="Arial" w:cs="Arial"/>
            <w:color w:val="0070C0"/>
            <w:sz w:val="20"/>
            <w:szCs w:val="20"/>
          </w:rPr>
          <w:t>www.esfcr.cz/vyzva-005-opz</w:t>
        </w:r>
      </w:hyperlink>
      <w:r w:rsidR="009A553E" w:rsidRPr="006E3BA9">
        <w:rPr>
          <w:rFonts w:ascii="Arial" w:hAnsi="Arial" w:cs="Arial"/>
          <w:color w:val="0070C0"/>
          <w:sz w:val="20"/>
          <w:szCs w:val="20"/>
        </w:rPr>
        <w:t xml:space="preserve">. Tabulka se předkládá v elektronické podobě ve formátu *xls nebo *xlsx na adresu </w:t>
      </w:r>
      <w:hyperlink r:id="rId9" w:history="1">
        <w:r w:rsidR="009A553E" w:rsidRPr="006E3BA9">
          <w:rPr>
            <w:rStyle w:val="Hypertextovodkaz"/>
            <w:rFonts w:ascii="Arial" w:hAnsi="Arial" w:cs="Arial"/>
            <w:color w:val="0070C0"/>
            <w:sz w:val="20"/>
            <w:szCs w:val="20"/>
          </w:rPr>
          <w:t>dotace.osv@kr-karlovarsky.cz</w:t>
        </w:r>
      </w:hyperlink>
      <w:r w:rsidR="009A553E" w:rsidRPr="006E3BA9">
        <w:rPr>
          <w:rFonts w:ascii="Arial" w:hAnsi="Arial" w:cs="Arial"/>
          <w:color w:val="0070C0"/>
          <w:sz w:val="20"/>
          <w:szCs w:val="20"/>
        </w:rPr>
        <w:t>. Tabulka musí být opatřena elektronickým podpisem zástupce statutárního orgánu, popř. osoby oprávněné zastupovat příjemce. Pokud není možné tabulku opatřit elektronickým podpisem, bude tabulka zaslána v listinné podobě opatřené vlastnoručním podpisem zástupce statutárního orgánu, popř. osoby oprávněné zastupovat příjemce. V případě, kdy bude tabulka podepsána osobou oprávněnou zastupovat příjemce odlišnou od statutárního orgánu, bude k tabulce přiložen originál nebo ověřená kopie dokladu opravňujícího zastupovat příjemce (plná moc / pověření). Tabulka se vyplňuje za každou sociální službu zvlášť, do tabulky se vyplňují údaje týkající se čerpání neinvestiční dotace 3. Z popisu výdaje musí být jasné, co bylo předmětem výdaje tak, aby bylo možné posoudit jeho způsobilost. V případě nedostatečného popisu výdaje či pochybnosti o způsobilosti některého z výdajů bude příjemce vyzván k vysvětlení, popř. k doložení kopie konkrétního účetního dokladu.</w:t>
      </w:r>
    </w:p>
    <w:p w14:paraId="53924C36" w14:textId="77777777" w:rsidR="00FD3472" w:rsidRPr="006E3BA9" w:rsidRDefault="00FD347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FFF1279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</w:p>
    <w:p w14:paraId="3C1D8C3A" w14:textId="289AA901" w:rsidR="00FD3472" w:rsidRPr="006E3BA9" w:rsidRDefault="00615707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>C</w:t>
      </w:r>
      <w:r w:rsidR="00FD3472" w:rsidRPr="006E3BA9">
        <w:rPr>
          <w:rFonts w:ascii="Arial" w:hAnsi="Arial" w:cs="Arial"/>
          <w:sz w:val="20"/>
          <w:szCs w:val="20"/>
        </w:rPr>
        <w:t xml:space="preserve">o je tabulka "Přehled pracovníků", kam máme uvádět kódy zaměstnanců. </w:t>
      </w:r>
    </w:p>
    <w:p w14:paraId="540B5C79" w14:textId="08712FA9" w:rsidR="007215A8" w:rsidRDefault="007215A8" w:rsidP="007215A8">
      <w:pPr>
        <w:rPr>
          <w:rFonts w:ascii="Arial" w:hAnsi="Arial" w:cs="Arial"/>
          <w:color w:val="1F497D"/>
          <w:sz w:val="20"/>
          <w:szCs w:val="20"/>
        </w:rPr>
      </w:pPr>
    </w:p>
    <w:p w14:paraId="71B9DF0E" w14:textId="73E5489B" w:rsidR="00CC49AE" w:rsidRPr="006E3BA9" w:rsidRDefault="008C4AF7" w:rsidP="00CC49A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52E771E9" w14:textId="2578B7F0" w:rsidR="007215A8" w:rsidRPr="006E3BA9" w:rsidRDefault="007215A8" w:rsidP="007215A8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 xml:space="preserve">Přehled pracovníků se vyplňuje jen u ambulantních a terénních služeb, kde je indikátorem počet </w:t>
      </w:r>
      <w:r w:rsidR="003753E5" w:rsidRPr="006E3BA9">
        <w:rPr>
          <w:rFonts w:ascii="Arial" w:hAnsi="Arial" w:cs="Arial"/>
          <w:color w:val="0070C0"/>
          <w:sz w:val="20"/>
          <w:szCs w:val="20"/>
        </w:rPr>
        <w:t xml:space="preserve">úvazků </w:t>
      </w:r>
      <w:r w:rsidRPr="006E3BA9">
        <w:rPr>
          <w:rFonts w:ascii="Arial" w:hAnsi="Arial" w:cs="Arial"/>
          <w:color w:val="0070C0"/>
          <w:sz w:val="20"/>
          <w:szCs w:val="20"/>
        </w:rPr>
        <w:t>pracovníků v přímé péči.</w:t>
      </w:r>
    </w:p>
    <w:p w14:paraId="1409DD53" w14:textId="77777777" w:rsidR="007215A8" w:rsidRPr="006E3BA9" w:rsidRDefault="007215A8" w:rsidP="007215A8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Ve formuláři ZZ pro pobytové služby tato tabulka není.</w:t>
      </w:r>
    </w:p>
    <w:p w14:paraId="597C7F49" w14:textId="5F2E2947" w:rsidR="007215A8" w:rsidRDefault="007215A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737D5C3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</w:p>
    <w:p w14:paraId="74105A6D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 xml:space="preserve">Pracovník pracuje na DPČ a odměna mu je vyplácena dle odpracovaných hodin, nikoli dle úvazku. </w:t>
      </w:r>
    </w:p>
    <w:p w14:paraId="3269F777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 xml:space="preserve">Pokud pracovník pracoval na DPČ např. v lednu a odpracoval 31 hod, je nutné ve sloupci F přepočítat úvazek 0,19375, aby fond pracovní doby ve sloupci K vyšel na 31 hod. </w:t>
      </w:r>
      <w:r w:rsidR="00011AE7" w:rsidRPr="006E3BA9">
        <w:rPr>
          <w:rFonts w:ascii="Arial" w:hAnsi="Arial" w:cs="Arial"/>
          <w:sz w:val="20"/>
          <w:szCs w:val="20"/>
        </w:rPr>
        <w:t xml:space="preserve"> </w:t>
      </w:r>
      <w:r w:rsidRPr="006E3BA9">
        <w:rPr>
          <w:rFonts w:ascii="Arial" w:hAnsi="Arial" w:cs="Arial"/>
          <w:sz w:val="20"/>
          <w:szCs w:val="20"/>
        </w:rPr>
        <w:t>Nicméně tento úvazek není nikde uveden a je potřeba jej přepočítávat. Také VSK jej ve smlouvě hledá.</w:t>
      </w:r>
    </w:p>
    <w:p w14:paraId="2647716A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>Bylo by tedy jednodušší a přehlednější, pokud by bylo možné uvést, tak jako u DPP, přímo počet odpracovaných hodin.</w:t>
      </w:r>
    </w:p>
    <w:p w14:paraId="1DD6B98A" w14:textId="77777777" w:rsidR="00FD3472" w:rsidRPr="006E3BA9" w:rsidRDefault="00FD3472" w:rsidP="00FD3472">
      <w:pPr>
        <w:rPr>
          <w:rFonts w:ascii="Arial" w:hAnsi="Arial" w:cs="Arial"/>
          <w:sz w:val="20"/>
          <w:szCs w:val="20"/>
        </w:rPr>
      </w:pPr>
    </w:p>
    <w:p w14:paraId="34B813D7" w14:textId="3DD07C1D" w:rsidR="00CC49AE" w:rsidRPr="006E3BA9" w:rsidRDefault="008C4AF7" w:rsidP="00FD3472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2E87A159" w14:textId="7C1E628F" w:rsidR="00C103D8" w:rsidRPr="006E3BA9" w:rsidRDefault="00C103D8" w:rsidP="00FD3472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Pro kontrolu nadměrného vyrovnání je nutné znát přepočtený počet úvazků, aby bylo možné vykázanou výši úvazků porovnat s úvazky uvedenými ve smlouvě a v pověření. Proto je nutné odpracované hodiny na DPČ přepočítávat na úvazky.</w:t>
      </w:r>
      <w:r w:rsidR="009E2B18" w:rsidRPr="006E3BA9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1E622472" w14:textId="5B224257" w:rsidR="006B6A99" w:rsidRPr="006E3BA9" w:rsidRDefault="009D0819" w:rsidP="00EF6BE0">
      <w:pPr>
        <w:pBdr>
          <w:bottom w:val="single" w:sz="6" w:space="1" w:color="auto"/>
        </w:pBd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 xml:space="preserve">V Systému monitoringu je uvedeno, jakým způsobem se vykazují v ZZ úvazky, uvedený postup platí i pro DPČ. </w:t>
      </w:r>
    </w:p>
    <w:p w14:paraId="4C57E623" w14:textId="3C661767" w:rsidR="007C34D5" w:rsidRPr="006E3BA9" w:rsidRDefault="007C34D5" w:rsidP="00EF6BE0">
      <w:pPr>
        <w:pBdr>
          <w:bottom w:val="single" w:sz="6" w:space="1" w:color="auto"/>
        </w:pBd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 xml:space="preserve">V případě DPP se do formuláře závěrečné zprávy vyplňuje údaj o počtu odpracovaných hodin, formulář </w:t>
      </w:r>
      <w:r w:rsidRPr="008C4AF7">
        <w:rPr>
          <w:rFonts w:ascii="Arial" w:hAnsi="Arial" w:cs="Arial"/>
          <w:color w:val="0070C0"/>
          <w:sz w:val="20"/>
          <w:szCs w:val="20"/>
        </w:rPr>
        <w:t>tento údaj převede na úvazky. V případě DPČ se do formulář</w:t>
      </w:r>
      <w:r w:rsidR="001C05A9" w:rsidRPr="008C4AF7">
        <w:rPr>
          <w:rFonts w:ascii="Arial" w:hAnsi="Arial" w:cs="Arial"/>
          <w:color w:val="0070C0"/>
          <w:sz w:val="20"/>
          <w:szCs w:val="20"/>
        </w:rPr>
        <w:t>e</w:t>
      </w:r>
      <w:r w:rsidRPr="008C4AF7">
        <w:rPr>
          <w:rFonts w:ascii="Arial" w:hAnsi="Arial" w:cs="Arial"/>
          <w:color w:val="0070C0"/>
          <w:sz w:val="20"/>
          <w:szCs w:val="20"/>
        </w:rPr>
        <w:t xml:space="preserve"> závěrečné zprávy vyplňuje výše úvazku. </w:t>
      </w:r>
      <w:r w:rsidR="00E56668" w:rsidRPr="008C4AF7">
        <w:rPr>
          <w:rFonts w:ascii="Arial" w:hAnsi="Arial" w:cs="Arial"/>
          <w:color w:val="0070C0"/>
          <w:sz w:val="20"/>
          <w:szCs w:val="20"/>
        </w:rPr>
        <w:t xml:space="preserve">Poskytovatel </w:t>
      </w:r>
      <w:r w:rsidRPr="008C4AF7">
        <w:rPr>
          <w:rFonts w:ascii="Arial" w:hAnsi="Arial" w:cs="Arial"/>
          <w:color w:val="0070C0"/>
          <w:sz w:val="20"/>
          <w:szCs w:val="20"/>
        </w:rPr>
        <w:t xml:space="preserve">sociální služby </w:t>
      </w:r>
      <w:r w:rsidR="001C05A9" w:rsidRPr="008C4AF7">
        <w:rPr>
          <w:rFonts w:ascii="Arial" w:hAnsi="Arial" w:cs="Arial"/>
          <w:color w:val="0070C0"/>
          <w:sz w:val="20"/>
          <w:szCs w:val="20"/>
        </w:rPr>
        <w:t>u pracovníka na DPČ zná</w:t>
      </w:r>
      <w:r w:rsidR="00DC58F4" w:rsidRPr="008C4AF7">
        <w:rPr>
          <w:rFonts w:ascii="Arial" w:hAnsi="Arial" w:cs="Arial"/>
          <w:color w:val="0070C0"/>
          <w:sz w:val="20"/>
          <w:szCs w:val="20"/>
        </w:rPr>
        <w:t xml:space="preserve"> počet odpracovaných hodin</w:t>
      </w:r>
      <w:r w:rsidR="00E56668" w:rsidRPr="008C4AF7">
        <w:rPr>
          <w:rFonts w:ascii="Arial" w:hAnsi="Arial" w:cs="Arial"/>
          <w:color w:val="0070C0"/>
          <w:sz w:val="20"/>
          <w:szCs w:val="20"/>
        </w:rPr>
        <w:t>. Tyto skutečně odpracované hodiny</w:t>
      </w:r>
      <w:r w:rsidR="006E3BA9" w:rsidRPr="008C4AF7">
        <w:rPr>
          <w:rFonts w:ascii="Arial" w:hAnsi="Arial" w:cs="Arial"/>
          <w:color w:val="0070C0"/>
          <w:sz w:val="20"/>
          <w:szCs w:val="20"/>
        </w:rPr>
        <w:t xml:space="preserve"> </w:t>
      </w:r>
      <w:r w:rsidR="00E56668" w:rsidRPr="008C4AF7">
        <w:rPr>
          <w:rFonts w:ascii="Arial" w:hAnsi="Arial" w:cs="Arial"/>
          <w:color w:val="0070C0"/>
          <w:sz w:val="20"/>
          <w:szCs w:val="20"/>
        </w:rPr>
        <w:t xml:space="preserve">převede </w:t>
      </w:r>
      <w:r w:rsidR="001C05A9" w:rsidRPr="008C4AF7">
        <w:rPr>
          <w:rFonts w:ascii="Arial" w:hAnsi="Arial" w:cs="Arial"/>
          <w:color w:val="0070C0"/>
          <w:sz w:val="20"/>
          <w:szCs w:val="20"/>
        </w:rPr>
        <w:t xml:space="preserve">na úvazky (vzorec: počet odpracovaných hodin / fond pracovní doby v daném roce, v roce 2021 byl fond pracovní doby </w:t>
      </w:r>
      <w:r w:rsidR="00DC58F4" w:rsidRPr="008C4AF7">
        <w:rPr>
          <w:rFonts w:ascii="Arial" w:hAnsi="Arial" w:cs="Arial"/>
          <w:color w:val="0070C0"/>
          <w:sz w:val="20"/>
          <w:szCs w:val="20"/>
        </w:rPr>
        <w:t>2016 hodin) a tyto pak vykáže</w:t>
      </w:r>
      <w:r w:rsidR="001C05A9" w:rsidRPr="008C4AF7">
        <w:rPr>
          <w:rFonts w:ascii="Arial" w:hAnsi="Arial" w:cs="Arial"/>
          <w:color w:val="0070C0"/>
          <w:sz w:val="20"/>
          <w:szCs w:val="20"/>
        </w:rPr>
        <w:t xml:space="preserve"> v závěrečné zprávě.</w:t>
      </w:r>
      <w:r w:rsidR="00E56668" w:rsidRPr="008C4AF7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5257027" w14:textId="257F41AE" w:rsidR="00EF6BE0" w:rsidRPr="006E3BA9" w:rsidRDefault="00EF6BE0" w:rsidP="00EF6BE0">
      <w:pPr>
        <w:pBdr>
          <w:bottom w:val="single" w:sz="6" w:space="1" w:color="auto"/>
        </w:pBdr>
        <w:rPr>
          <w:rFonts w:ascii="Arial" w:hAnsi="Arial" w:cs="Arial"/>
          <w:color w:val="0070C0"/>
          <w:sz w:val="20"/>
          <w:szCs w:val="20"/>
        </w:rPr>
      </w:pPr>
    </w:p>
    <w:p w14:paraId="1C05A1C3" w14:textId="77777777" w:rsidR="008C4AF7" w:rsidRDefault="008C4AF7" w:rsidP="00E54E49">
      <w:pPr>
        <w:rPr>
          <w:rFonts w:ascii="Arial" w:hAnsi="Arial" w:cs="Arial"/>
          <w:sz w:val="20"/>
          <w:szCs w:val="20"/>
        </w:rPr>
      </w:pPr>
    </w:p>
    <w:p w14:paraId="0C306A0E" w14:textId="339CA8D4" w:rsidR="00E54E49" w:rsidRPr="006E3BA9" w:rsidRDefault="00615707" w:rsidP="00E54E49">
      <w:pPr>
        <w:rPr>
          <w:rFonts w:ascii="Arial" w:hAnsi="Arial" w:cs="Arial"/>
          <w:sz w:val="20"/>
          <w:szCs w:val="20"/>
        </w:rPr>
      </w:pPr>
      <w:r w:rsidRPr="006E3BA9">
        <w:rPr>
          <w:rFonts w:ascii="Arial" w:hAnsi="Arial" w:cs="Arial"/>
          <w:sz w:val="20"/>
          <w:szCs w:val="20"/>
        </w:rPr>
        <w:t>Za</w:t>
      </w:r>
      <w:r w:rsidR="00E54E49" w:rsidRPr="006E3BA9">
        <w:rPr>
          <w:rFonts w:ascii="Arial" w:hAnsi="Arial" w:cs="Arial"/>
          <w:sz w:val="20"/>
          <w:szCs w:val="20"/>
        </w:rPr>
        <w:t xml:space="preserve"> rok 2021 smíme do nákladů uplatnit zálohy za energie a nájem? Nemusíme již tedy žádat o mimořádné vyúčtování? A v případě, že vyúčtování záloh proběhne např. v březnu, tak bude postup jaký?</w:t>
      </w:r>
    </w:p>
    <w:p w14:paraId="09A7E9A0" w14:textId="77777777" w:rsidR="00E54E49" w:rsidRPr="006E3BA9" w:rsidRDefault="00E54E49" w:rsidP="00E54E49">
      <w:pPr>
        <w:rPr>
          <w:rFonts w:ascii="Arial" w:hAnsi="Arial" w:cs="Arial"/>
          <w:sz w:val="20"/>
          <w:szCs w:val="20"/>
        </w:rPr>
      </w:pPr>
    </w:p>
    <w:p w14:paraId="038A354F" w14:textId="712D6F8A" w:rsidR="00CC49AE" w:rsidRPr="006E3BA9" w:rsidRDefault="008C4AF7" w:rsidP="00CC49A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1598D8A9" w14:textId="05A8F0C9" w:rsidR="009D0E92" w:rsidRPr="006E3BA9" w:rsidRDefault="00820514" w:rsidP="009D0E92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V dodatku č. 1 k veřejnoprávní smlouvě o poskytnutí dotace z rozpočtu Karlovarského kraje na zajištění sociálních služeb v roce 2021</w:t>
      </w:r>
      <w:r w:rsidR="009D0E92" w:rsidRPr="006E3BA9">
        <w:rPr>
          <w:rFonts w:ascii="Arial" w:hAnsi="Arial" w:cs="Arial"/>
          <w:color w:val="0070C0"/>
          <w:sz w:val="20"/>
          <w:szCs w:val="20"/>
        </w:rPr>
        <w:t>, který jste podepisovali v měsíci říjnu</w:t>
      </w:r>
      <w:r w:rsidR="00D43885">
        <w:rPr>
          <w:rFonts w:ascii="Arial" w:hAnsi="Arial" w:cs="Arial"/>
          <w:color w:val="0070C0"/>
          <w:sz w:val="20"/>
          <w:szCs w:val="20"/>
        </w:rPr>
        <w:t>,</w:t>
      </w:r>
      <w:r w:rsidR="009D0E92" w:rsidRPr="006E3BA9">
        <w:rPr>
          <w:rFonts w:ascii="Arial" w:hAnsi="Arial" w:cs="Arial"/>
          <w:color w:val="0070C0"/>
          <w:sz w:val="20"/>
          <w:szCs w:val="20"/>
        </w:rPr>
        <w:t xml:space="preserve"> se do smlouvy vkládá nový odst. 20, 21 článku VI. Základní povinnosti příjemce ve znění:</w:t>
      </w:r>
    </w:p>
    <w:p w14:paraId="23BC8D09" w14:textId="77777777" w:rsidR="009D0E92" w:rsidRPr="006E3BA9" w:rsidRDefault="009D0E92" w:rsidP="009D0E92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137B4A3E" w14:textId="77777777" w:rsidR="009D0E92" w:rsidRPr="006E3BA9" w:rsidRDefault="009D0E92" w:rsidP="009D0E9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Příjemce je v případě, kdy dojde k vyúčtování skutečných nákladů energií za rok 2021 nebo k vyúčtování nezbytných služeb spojených s nájmem prostor využívaných v souvislosti s poskytováním sociální služby za rok 2021 a výsledkem tohoto vyúčtování je přeplatek, povinen předložit odboru sociálních věcí aktualizované finanční vypořádání dotace, a to nejpozději do 31. 8. 2022. Aktualizované finanční vypořádání dotace se předkládá na formuláři, který je uveden v příloze č. 1 tohoto dodatku. Aktualizované finanční vypořádání dotace předkládá příjemce v písemné podobě, a to</w:t>
      </w:r>
    </w:p>
    <w:p w14:paraId="7BDBFA4C" w14:textId="77777777" w:rsidR="009D0E92" w:rsidRPr="006E3BA9" w:rsidRDefault="009D0E92" w:rsidP="009D0E92">
      <w:pPr>
        <w:numPr>
          <w:ilvl w:val="0"/>
          <w:numId w:val="3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v listinné podobě opatřené vlastnoručním podpisem osoby oprávněné zastupovat příjemce nebo</w:t>
      </w:r>
    </w:p>
    <w:p w14:paraId="411E2447" w14:textId="77777777" w:rsidR="009D0E92" w:rsidRPr="006E3BA9" w:rsidRDefault="009D0E92" w:rsidP="009D0E92">
      <w:pPr>
        <w:numPr>
          <w:ilvl w:val="0"/>
          <w:numId w:val="3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v elektronické podobě ve formátu *pdf prostřednictvím datové schránky poskytovatele, v souladu se zákonem č. 300/2008 Sb., o elektronických úkonech a autorizované konverzi dokumentů, ve znění pozdějších předpisů, aktualizované finanční vypořádání dotace musí být opatřeno elektronickým podpisem osoby oprávněné zastupovat příjemce.</w:t>
      </w:r>
    </w:p>
    <w:p w14:paraId="3C629C92" w14:textId="77777777" w:rsidR="009D0E92" w:rsidRPr="006E3BA9" w:rsidRDefault="009D0E92" w:rsidP="009D0E92">
      <w:pPr>
        <w:ind w:left="360"/>
        <w:jc w:val="both"/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 xml:space="preserve">Pro dodržení termínu pro předložení aktualizovaného finančního vypořádání dotace je rozhodující datum razítka podatelny krajského úřadu, nebo okamžik dodání do datové schránky poskytovatele v případě zaslání aktualizovaného finančního vypořádání dotace do datové schránky. Příjemce rovněž odešle aktualizované finanční vypořádání dotace ve stanoveném termínu v elektronické podobě ve formátu *xls nebo *xlsx e-mailem na adresu </w:t>
      </w:r>
      <w:hyperlink r:id="rId10" w:history="1">
        <w:r w:rsidRPr="006E3BA9">
          <w:rPr>
            <w:rStyle w:val="Hypertextovodkaz"/>
            <w:rFonts w:ascii="Arial" w:hAnsi="Arial" w:cs="Arial"/>
            <w:color w:val="0070C0"/>
            <w:sz w:val="20"/>
            <w:szCs w:val="20"/>
          </w:rPr>
          <w:t>dotace.osv@kr-karlovarsky.cz</w:t>
        </w:r>
      </w:hyperlink>
      <w:r w:rsidRPr="006E3BA9">
        <w:rPr>
          <w:rFonts w:ascii="Arial" w:hAnsi="Arial" w:cs="Arial"/>
          <w:color w:val="0070C0"/>
          <w:sz w:val="20"/>
          <w:szCs w:val="20"/>
        </w:rPr>
        <w:t xml:space="preserve">. Aktualizované finanční vypořádání dotace se zpracovává za každou službu zvlášť. V případě, že aktualizované finanční vypořádání dotace bude neúplné, údaje v něm uvedené nepřesné, </w:t>
      </w:r>
      <w:r w:rsidRPr="006E3BA9">
        <w:rPr>
          <w:rFonts w:ascii="Arial" w:hAnsi="Arial" w:cs="Arial"/>
          <w:color w:val="0070C0"/>
          <w:sz w:val="20"/>
          <w:szCs w:val="20"/>
        </w:rPr>
        <w:lastRenderedPageBreak/>
        <w:t>nesrozumitelné či nedůvěryhodné, vyzve odbor sociálních věcí příjemce telefonicky a zároveň elektronicky k odstranění nedostatků aktualizovaného finančního vypořádání dotace ve lhůtě stanovené v elektronické výzvě.</w:t>
      </w:r>
    </w:p>
    <w:p w14:paraId="2E1D72A5" w14:textId="77777777" w:rsidR="009D0E92" w:rsidRPr="006E3BA9" w:rsidRDefault="009D0E92" w:rsidP="009D0E92">
      <w:pPr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3AC3E31B" w14:textId="77777777" w:rsidR="009D0E92" w:rsidRPr="006E3BA9" w:rsidRDefault="009D0E92" w:rsidP="009D0E9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Příjemce je povinen vrátit poskytnuté peněžní prostředky či jejich část poskytovateli v případě přeplatku uvedeného v článku VI. odst. 20, a to na základě písemné výzvy odboru sociálních věcí. Odbor sociálních věcí ve výzvě stanoví výši poměrné části poskytnuté dotace (neinvestiční dotace 1, neinvestiční dotace 2), kterou je příjemce povinen vrátit, a způsob a termín pro vrácení poměrné části poskytnuté dotace.</w:t>
      </w:r>
    </w:p>
    <w:p w14:paraId="60B79B95" w14:textId="77777777" w:rsidR="003753E5" w:rsidRPr="006E3BA9" w:rsidRDefault="003753E5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FFDE853" w14:textId="77777777" w:rsidR="00E54E49" w:rsidRPr="006E3BA9" w:rsidRDefault="00E54E49">
      <w:pPr>
        <w:rPr>
          <w:rFonts w:ascii="Arial" w:hAnsi="Arial" w:cs="Arial"/>
          <w:sz w:val="20"/>
          <w:szCs w:val="20"/>
        </w:rPr>
      </w:pPr>
    </w:p>
    <w:p w14:paraId="4AE7BC78" w14:textId="30B11CBD" w:rsidR="00E54E49" w:rsidRPr="006E3BA9" w:rsidRDefault="00615707" w:rsidP="00E54E49">
      <w:pPr>
        <w:rPr>
          <w:rFonts w:ascii="Arial" w:eastAsia="Times New Roman" w:hAnsi="Arial" w:cs="Arial"/>
          <w:sz w:val="20"/>
          <w:szCs w:val="20"/>
        </w:rPr>
      </w:pPr>
      <w:r w:rsidRPr="006E3BA9">
        <w:rPr>
          <w:rFonts w:ascii="Arial" w:eastAsia="Times New Roman" w:hAnsi="Arial" w:cs="Arial"/>
          <w:sz w:val="20"/>
          <w:szCs w:val="20"/>
        </w:rPr>
        <w:t>K</w:t>
      </w:r>
      <w:r w:rsidR="00E54E49" w:rsidRPr="006E3BA9">
        <w:rPr>
          <w:rFonts w:ascii="Arial" w:eastAsia="Times New Roman" w:hAnsi="Arial" w:cs="Arial"/>
          <w:sz w:val="20"/>
          <w:szCs w:val="20"/>
        </w:rPr>
        <w:t xml:space="preserve"> ZZ části B- Celkový počet uživatel hodin</w:t>
      </w:r>
      <w:r w:rsidRPr="006E3BA9">
        <w:rPr>
          <w:rFonts w:ascii="Arial" w:eastAsia="Times New Roman" w:hAnsi="Arial" w:cs="Arial"/>
          <w:sz w:val="20"/>
          <w:szCs w:val="20"/>
        </w:rPr>
        <w:t>:</w:t>
      </w:r>
      <w:r w:rsidR="00E54E49" w:rsidRPr="006E3BA9">
        <w:rPr>
          <w:rFonts w:ascii="Arial" w:eastAsia="Times New Roman" w:hAnsi="Arial" w:cs="Arial"/>
          <w:sz w:val="20"/>
          <w:szCs w:val="20"/>
        </w:rPr>
        <w:t xml:space="preserve"> Do dnešních dnů tuto položku vyp</w:t>
      </w:r>
      <w:r w:rsidR="00EF6BE0" w:rsidRPr="006E3BA9">
        <w:rPr>
          <w:rFonts w:ascii="Arial" w:eastAsia="Times New Roman" w:hAnsi="Arial" w:cs="Arial"/>
          <w:sz w:val="20"/>
          <w:szCs w:val="20"/>
        </w:rPr>
        <w:t>l</w:t>
      </w:r>
      <w:r w:rsidR="00E54E49" w:rsidRPr="006E3BA9">
        <w:rPr>
          <w:rFonts w:ascii="Arial" w:eastAsia="Times New Roman" w:hAnsi="Arial" w:cs="Arial"/>
          <w:sz w:val="20"/>
          <w:szCs w:val="20"/>
        </w:rPr>
        <w:t>ňujeme počet hodin strávených přímo u klienta. Tyto hodiny jsou fakturovány k platbě ke klientovi. Ale počet času stráveného prací ke klientovi je více. Musí se k němu dojet, odjet a doplnit písemné údaje, které jsou pro naši službu OA nezbytné. Fakticky je to tak, že i tyto činnosti souvisí se službou u klienta a jsou započítány do přímé práce. Jaké číslo tedy máme vyplnit?  Holé k fakturování nebo rozvité s těmito činnostmi ke klientovi? Toto nám také dělalo potíže při veřejnosprávní kontrole a nemáme to ujasněné.</w:t>
      </w:r>
    </w:p>
    <w:p w14:paraId="373619CA" w14:textId="77777777" w:rsidR="00E54E49" w:rsidRPr="006E3BA9" w:rsidRDefault="00E54E49" w:rsidP="00E54E49">
      <w:pPr>
        <w:rPr>
          <w:rFonts w:ascii="Arial" w:eastAsia="Times New Roman" w:hAnsi="Arial" w:cs="Arial"/>
          <w:sz w:val="20"/>
          <w:szCs w:val="20"/>
        </w:rPr>
      </w:pPr>
    </w:p>
    <w:p w14:paraId="02AF01C5" w14:textId="40C730D2" w:rsidR="00CC49AE" w:rsidRPr="006E3BA9" w:rsidRDefault="008C4AF7" w:rsidP="00CC49A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76345DED" w14:textId="6CE6539B" w:rsidR="007C34D5" w:rsidRPr="006E3BA9" w:rsidRDefault="00910113" w:rsidP="007C34D5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bCs/>
          <w:color w:val="0070C0"/>
          <w:sz w:val="20"/>
          <w:szCs w:val="20"/>
        </w:rPr>
        <w:t>Celkový počet uživatel-hodin je celkový počet hodin poskytování alespoň jedné ze základních činností služby uživateli za sledované období. Dojezd k uživateli a administrativní činnosti nejsou přímo základní činností (byť se základními činnostmi souvisí), takže by v rámci indikátoru neměly být vykazovány</w:t>
      </w:r>
      <w:r w:rsidRPr="006E3BA9">
        <w:rPr>
          <w:rFonts w:ascii="Arial" w:hAnsi="Arial" w:cs="Arial"/>
          <w:color w:val="0070C0"/>
          <w:sz w:val="20"/>
          <w:szCs w:val="20"/>
        </w:rPr>
        <w:t>.</w:t>
      </w:r>
      <w:r w:rsidRPr="006E3BA9">
        <w:rPr>
          <w:rFonts w:ascii="Arial" w:hAnsi="Arial" w:cs="Arial"/>
          <w:color w:val="FF0000"/>
          <w:sz w:val="20"/>
          <w:szCs w:val="20"/>
        </w:rPr>
        <w:t xml:space="preserve"> </w:t>
      </w:r>
      <w:r w:rsidR="007C34D5" w:rsidRPr="006E3BA9">
        <w:rPr>
          <w:rFonts w:ascii="Arial" w:hAnsi="Arial" w:cs="Arial"/>
          <w:color w:val="0070C0"/>
          <w:sz w:val="20"/>
          <w:szCs w:val="20"/>
        </w:rPr>
        <w:t>Pro úplnost doplňujeme, že dle systému monitoringu, str. 10, se do počtu uživatel-hodin nezapočítává poskytování základních činností služby, které nejsou vyjádřeny v hodinách, tj. u nichž se výše úhrady dle vyhlášky č. 505/2006 Sb., kterou se provádějí některá ustanovení zákona o sociálních službách, ve znění pozdějších předpisů, stanoví sazbou za úkon.</w:t>
      </w:r>
    </w:p>
    <w:p w14:paraId="244373AF" w14:textId="77777777" w:rsidR="0053384E" w:rsidRPr="006E3BA9" w:rsidRDefault="0053384E" w:rsidP="008C4AF7">
      <w:pPr>
        <w:pBdr>
          <w:bottom w:val="single" w:sz="6" w:space="1" w:color="auto"/>
        </w:pBdr>
        <w:rPr>
          <w:rFonts w:ascii="Arial" w:hAnsi="Arial" w:cs="Arial"/>
          <w:color w:val="FF0000"/>
          <w:sz w:val="20"/>
          <w:szCs w:val="20"/>
        </w:rPr>
      </w:pPr>
    </w:p>
    <w:p w14:paraId="4AB9C44F" w14:textId="77777777" w:rsidR="003B52DE" w:rsidRPr="006E3BA9" w:rsidRDefault="003B52DE" w:rsidP="008C4AF7">
      <w:pPr>
        <w:rPr>
          <w:rFonts w:ascii="Arial" w:eastAsia="Times New Roman" w:hAnsi="Arial" w:cs="Arial"/>
          <w:sz w:val="20"/>
          <w:szCs w:val="20"/>
        </w:rPr>
      </w:pPr>
    </w:p>
    <w:p w14:paraId="37D81762" w14:textId="77777777" w:rsidR="00D0567E" w:rsidRPr="006E3BA9" w:rsidRDefault="00D0567E" w:rsidP="00D0567E">
      <w:pPr>
        <w:rPr>
          <w:rFonts w:ascii="Arial" w:eastAsia="Times New Roman" w:hAnsi="Arial" w:cs="Arial"/>
          <w:sz w:val="20"/>
          <w:szCs w:val="20"/>
        </w:rPr>
      </w:pPr>
      <w:r w:rsidRPr="006E3BA9">
        <w:rPr>
          <w:rFonts w:ascii="Arial" w:eastAsia="Times New Roman" w:hAnsi="Arial" w:cs="Arial"/>
          <w:sz w:val="20"/>
          <w:szCs w:val="20"/>
        </w:rPr>
        <w:t>Jak se v závěrečně zprávě vypořádat s neplaceným volnem u zaměstnanců v přímé péči? Má toto vliv na výpočet indikátoru úvazků v přímé péči?</w:t>
      </w:r>
    </w:p>
    <w:p w14:paraId="1467E802" w14:textId="77777777" w:rsidR="00F957CF" w:rsidRPr="006E3BA9" w:rsidRDefault="00F957CF" w:rsidP="00CC49A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14:paraId="1E34CC70" w14:textId="493BE914" w:rsidR="00CC49AE" w:rsidRPr="006E3BA9" w:rsidRDefault="008C4AF7" w:rsidP="00CC49A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4EF09AF5" w14:textId="404124FD" w:rsidR="0053384E" w:rsidRPr="006E3BA9" w:rsidRDefault="00247D8A" w:rsidP="008C4AF7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6E3BA9">
        <w:rPr>
          <w:rFonts w:ascii="Arial" w:hAnsi="Arial" w:cs="Arial"/>
          <w:color w:val="0070C0"/>
          <w:sz w:val="20"/>
          <w:szCs w:val="20"/>
        </w:rPr>
        <w:t xml:space="preserve">Neplacené volno se do celkové výše </w:t>
      </w:r>
      <w:r w:rsidR="002E1669" w:rsidRPr="006E3BA9">
        <w:rPr>
          <w:rFonts w:ascii="Arial" w:hAnsi="Arial" w:cs="Arial"/>
          <w:color w:val="0070C0"/>
          <w:sz w:val="20"/>
          <w:szCs w:val="20"/>
        </w:rPr>
        <w:t xml:space="preserve">přepočtených </w:t>
      </w:r>
      <w:r w:rsidRPr="006E3BA9">
        <w:rPr>
          <w:rFonts w:ascii="Arial" w:hAnsi="Arial" w:cs="Arial"/>
          <w:color w:val="0070C0"/>
          <w:sz w:val="20"/>
          <w:szCs w:val="20"/>
        </w:rPr>
        <w:t xml:space="preserve">úvazků </w:t>
      </w:r>
      <w:r w:rsidR="002E1669" w:rsidRPr="006E3BA9">
        <w:rPr>
          <w:rFonts w:ascii="Arial" w:hAnsi="Arial" w:cs="Arial"/>
          <w:color w:val="0070C0"/>
          <w:sz w:val="20"/>
          <w:szCs w:val="20"/>
        </w:rPr>
        <w:t xml:space="preserve">pracovníků v přímé péči </w:t>
      </w:r>
      <w:r w:rsidRPr="006E3BA9">
        <w:rPr>
          <w:rFonts w:ascii="Arial" w:hAnsi="Arial" w:cs="Arial"/>
          <w:color w:val="0070C0"/>
          <w:sz w:val="20"/>
          <w:szCs w:val="20"/>
        </w:rPr>
        <w:t>nezapočítává. Viz Systém monitoringu, str. 24, kde je uvedeno, jaké neodpracované hodiny se mohou započítávat do celkového počtu skutečně odpracovaných hodin</w:t>
      </w:r>
      <w:r w:rsidR="00970A9B" w:rsidRPr="006E3BA9">
        <w:rPr>
          <w:rFonts w:ascii="Arial" w:hAnsi="Arial" w:cs="Arial"/>
          <w:color w:val="FF0000"/>
          <w:sz w:val="20"/>
          <w:szCs w:val="20"/>
        </w:rPr>
        <w:t>.</w:t>
      </w:r>
    </w:p>
    <w:p w14:paraId="33A83F13" w14:textId="77777777" w:rsidR="009D0819" w:rsidRPr="006E3BA9" w:rsidRDefault="009D0819" w:rsidP="008C4AF7">
      <w:pPr>
        <w:pStyle w:val="-wm-msonormal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14:paraId="67CCFF00" w14:textId="77777777" w:rsidR="008C4AF7" w:rsidRDefault="008C4AF7" w:rsidP="008C4AF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965F2EF" w14:textId="46312E60" w:rsidR="007332E7" w:rsidRPr="006E3BA9" w:rsidRDefault="00615707" w:rsidP="008C4AF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E3BA9">
        <w:rPr>
          <w:rFonts w:ascii="Arial" w:eastAsia="Times New Roman" w:hAnsi="Arial" w:cs="Arial"/>
          <w:color w:val="000000"/>
          <w:sz w:val="20"/>
          <w:szCs w:val="20"/>
        </w:rPr>
        <w:t xml:space="preserve">K položkám mzdy </w:t>
      </w:r>
      <w:r w:rsidR="007332E7" w:rsidRPr="006E3BA9">
        <w:rPr>
          <w:rFonts w:ascii="Arial" w:eastAsia="Times New Roman" w:hAnsi="Arial" w:cs="Arial"/>
          <w:color w:val="000000"/>
          <w:sz w:val="20"/>
          <w:szCs w:val="20"/>
        </w:rPr>
        <w:t xml:space="preserve"> pracovníků</w:t>
      </w:r>
      <w:r w:rsidRPr="006E3BA9">
        <w:rPr>
          <w:rFonts w:ascii="Arial" w:eastAsia="Times New Roman" w:hAnsi="Arial" w:cs="Arial"/>
          <w:color w:val="000000"/>
          <w:sz w:val="20"/>
          <w:szCs w:val="20"/>
        </w:rPr>
        <w:t xml:space="preserve"> - máme</w:t>
      </w:r>
      <w:r w:rsidR="007332E7" w:rsidRPr="006E3BA9">
        <w:rPr>
          <w:rFonts w:ascii="Arial" w:eastAsia="Times New Roman" w:hAnsi="Arial" w:cs="Arial"/>
          <w:color w:val="000000"/>
          <w:sz w:val="20"/>
          <w:szCs w:val="20"/>
        </w:rPr>
        <w:t xml:space="preserve"> i jako organizace bonus pro pracovníky 3 dny indispozičního volna, mohu také hradit z dotace MPSV či KUKK, nebo ji musím úplně vynechat z dotací? </w:t>
      </w:r>
    </w:p>
    <w:p w14:paraId="3725A00E" w14:textId="77777777" w:rsidR="007332E7" w:rsidRPr="006E3BA9" w:rsidRDefault="007332E7" w:rsidP="007332E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E3B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697282B" w14:textId="6A93A5F3" w:rsidR="00E54E49" w:rsidRPr="006E3BA9" w:rsidRDefault="00E54E49">
      <w:pPr>
        <w:rPr>
          <w:rFonts w:ascii="Arial" w:hAnsi="Arial" w:cs="Arial"/>
          <w:sz w:val="20"/>
          <w:szCs w:val="20"/>
        </w:rPr>
      </w:pPr>
    </w:p>
    <w:p w14:paraId="3D523D22" w14:textId="11E540A5" w:rsidR="00CC49AE" w:rsidRPr="006E3BA9" w:rsidRDefault="008C4AF7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5FECC453" w14:textId="58889D75" w:rsidR="007332E7" w:rsidRPr="006E3BA9" w:rsidRDefault="00114357" w:rsidP="008C4AF7">
      <w:pPr>
        <w:rPr>
          <w:rFonts w:ascii="Arial" w:hAnsi="Arial" w:cs="Arial"/>
          <w:color w:val="0070C0"/>
          <w:sz w:val="20"/>
          <w:szCs w:val="20"/>
        </w:rPr>
      </w:pPr>
      <w:r w:rsidRPr="006E3BA9">
        <w:rPr>
          <w:rFonts w:ascii="Arial" w:hAnsi="Arial" w:cs="Arial"/>
          <w:color w:val="0070C0"/>
          <w:sz w:val="20"/>
          <w:szCs w:val="20"/>
        </w:rPr>
        <w:t>Z dotace je možné hradit pouze náhradu mzdy nebo platu za dobu čerpání dovolené v délce 5 týdnů v kalendářním roce. Viz Příručka pro žadatele a příjemce (verze dokumentu 1.1.), str. 35.</w:t>
      </w:r>
    </w:p>
    <w:p w14:paraId="3CDDD23D" w14:textId="77777777" w:rsidR="00AD0D93" w:rsidRPr="006E3BA9" w:rsidRDefault="00AD0D93" w:rsidP="008C4AF7">
      <w:pPr>
        <w:pStyle w:val="-wm-msonormal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14:paraId="51B26986" w14:textId="77777777" w:rsidR="008C4AF7" w:rsidRDefault="008C4AF7" w:rsidP="008C4AF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60CB69B" w14:textId="3AC5CF67" w:rsidR="00AD0D93" w:rsidRPr="006E3BA9" w:rsidRDefault="00615707" w:rsidP="008C4AF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E3BA9">
        <w:rPr>
          <w:rFonts w:ascii="Arial" w:eastAsia="Times New Roman" w:hAnsi="Arial" w:cs="Arial"/>
          <w:color w:val="000000"/>
          <w:sz w:val="20"/>
          <w:szCs w:val="20"/>
        </w:rPr>
        <w:t>U vratek</w:t>
      </w:r>
      <w:r w:rsidR="00D438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0D93" w:rsidRPr="006E3BA9">
        <w:rPr>
          <w:rFonts w:ascii="Arial" w:eastAsia="Times New Roman" w:hAnsi="Arial" w:cs="Arial"/>
          <w:color w:val="000000"/>
          <w:sz w:val="20"/>
          <w:szCs w:val="20"/>
        </w:rPr>
        <w:t>v souvislosti s nenaplněním indikátorů máme čekat na výzvu</w:t>
      </w:r>
      <w:r w:rsidRPr="006E3BA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AD0D93" w:rsidRPr="006E3BA9">
        <w:rPr>
          <w:rFonts w:ascii="Arial" w:eastAsia="Times New Roman" w:hAnsi="Arial" w:cs="Arial"/>
          <w:color w:val="000000"/>
          <w:sz w:val="20"/>
          <w:szCs w:val="20"/>
        </w:rPr>
        <w:t xml:space="preserve"> Jak je to v případě, kdy neutratíme všechny peníze? Máme také čekat na výzvu nebo postupovat jako v předchozích letech(avízo a odeslání peněz). </w:t>
      </w:r>
    </w:p>
    <w:p w14:paraId="70C63B83" w14:textId="77777777" w:rsidR="00AD0D93" w:rsidRPr="006E3BA9" w:rsidRDefault="00AD0D93" w:rsidP="00AD0D9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BCAC2C0" w14:textId="002D7E7D" w:rsidR="00CC49AE" w:rsidRPr="006E3BA9" w:rsidRDefault="009C0337" w:rsidP="00CC49A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ODPOVĚĎ</w:t>
      </w:r>
      <w:bookmarkStart w:id="0" w:name="_GoBack"/>
      <w:bookmarkEnd w:id="0"/>
      <w:r w:rsidR="00CC49AE" w:rsidRPr="006E3BA9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7CFC79F4" w14:textId="3BACFDF9" w:rsidR="00AD0D93" w:rsidRPr="006E3BA9" w:rsidRDefault="00382FB3" w:rsidP="00AD0D93">
      <w:pPr>
        <w:shd w:val="clear" w:color="auto" w:fill="FFFFFF"/>
        <w:rPr>
          <w:rFonts w:ascii="Arial" w:eastAsia="Times New Roman" w:hAnsi="Arial" w:cs="Arial"/>
          <w:color w:val="0070C0"/>
          <w:sz w:val="20"/>
          <w:szCs w:val="20"/>
        </w:rPr>
      </w:pPr>
      <w:r w:rsidRPr="006E3BA9">
        <w:rPr>
          <w:rFonts w:ascii="Arial" w:eastAsia="Times New Roman" w:hAnsi="Arial" w:cs="Arial"/>
          <w:color w:val="0070C0"/>
          <w:sz w:val="20"/>
          <w:szCs w:val="20"/>
        </w:rPr>
        <w:t>Viz ustanovení čl. VI odst. 17 veřejnoprávní smlouvy:</w:t>
      </w:r>
    </w:p>
    <w:p w14:paraId="10242E56" w14:textId="77777777" w:rsidR="00382FB3" w:rsidRPr="006E3BA9" w:rsidRDefault="00382FB3" w:rsidP="00382FB3">
      <w:pPr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lang w:eastAsia="cs-CZ"/>
        </w:rPr>
      </w:pPr>
      <w:r w:rsidRPr="006E3BA9">
        <w:rPr>
          <w:rFonts w:ascii="Arial" w:eastAsia="Times New Roman" w:hAnsi="Arial" w:cs="Arial"/>
          <w:color w:val="0070C0"/>
          <w:sz w:val="20"/>
          <w:szCs w:val="20"/>
          <w:lang w:eastAsia="cs-CZ"/>
        </w:rPr>
        <w:t>Nevyčerpané peněžní prostředky z dotace je příjemce povinen vrátit nejpozději v termínu stanoveném pro předložení závěrečné zprávy odboru sociálních věcí formou bezhotovostního převodu na účet poskytovatele (vrácené peněžní prostředky musí být připsány na účet poskytovatele nejpozději v poslední den termínu stanoveného pro předložení závěrečné zprávy), a to následovně:</w:t>
      </w:r>
    </w:p>
    <w:p w14:paraId="57125376" w14:textId="77777777" w:rsidR="00382FB3" w:rsidRPr="006E3BA9" w:rsidRDefault="00382FB3" w:rsidP="00382FB3">
      <w:pPr>
        <w:numPr>
          <w:ilvl w:val="0"/>
          <w:numId w:val="11"/>
        </w:numPr>
        <w:jc w:val="both"/>
        <w:rPr>
          <w:rFonts w:ascii="Arial" w:eastAsia="Times New Roman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eastAsia="Times New Roman" w:hAnsi="Arial" w:cs="Arial"/>
          <w:color w:val="0070C0"/>
          <w:sz w:val="20"/>
          <w:szCs w:val="20"/>
          <w:lang w:eastAsia="cs-CZ"/>
        </w:rPr>
        <w:t xml:space="preserve">nevyčerpanou část neinvestiční dotace 1 na účet č. 94-218341/0710, účelový znak 13305, variabilní symbol 2193685006, </w:t>
      </w:r>
    </w:p>
    <w:p w14:paraId="7518B4E0" w14:textId="77777777" w:rsidR="00382FB3" w:rsidRPr="006E3BA9" w:rsidRDefault="00382FB3" w:rsidP="00382FB3">
      <w:pPr>
        <w:numPr>
          <w:ilvl w:val="0"/>
          <w:numId w:val="11"/>
        </w:numPr>
        <w:jc w:val="both"/>
        <w:rPr>
          <w:rFonts w:ascii="Arial" w:eastAsia="Times New Roman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eastAsia="Times New Roman" w:hAnsi="Arial" w:cs="Arial"/>
          <w:color w:val="0070C0"/>
          <w:sz w:val="20"/>
          <w:szCs w:val="20"/>
          <w:lang w:eastAsia="cs-CZ"/>
        </w:rPr>
        <w:lastRenderedPageBreak/>
        <w:t>nevyčerpanou část neinvestiční dotace 2 na účet č. 35-5965670257/0100, variabilní symbol 2193685006,</w:t>
      </w:r>
    </w:p>
    <w:p w14:paraId="4FDFDB80" w14:textId="77777777" w:rsidR="00382FB3" w:rsidRPr="006E3BA9" w:rsidRDefault="00382FB3" w:rsidP="00382FB3">
      <w:pPr>
        <w:numPr>
          <w:ilvl w:val="0"/>
          <w:numId w:val="11"/>
        </w:numPr>
        <w:jc w:val="both"/>
        <w:rPr>
          <w:rFonts w:ascii="Arial" w:eastAsia="Times New Roman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eastAsia="Times New Roman" w:hAnsi="Arial" w:cs="Arial"/>
          <w:color w:val="0070C0"/>
          <w:sz w:val="20"/>
          <w:szCs w:val="20"/>
          <w:lang w:eastAsia="cs-CZ"/>
        </w:rPr>
        <w:t xml:space="preserve">nevyčerpanou část dofinancování sociální služby na účet č. 35-5965670257/0100, variabilní symbol 2193685006. </w:t>
      </w:r>
    </w:p>
    <w:p w14:paraId="59F4AD84" w14:textId="77777777" w:rsidR="00382FB3" w:rsidRPr="006E3BA9" w:rsidRDefault="00382FB3" w:rsidP="00382FB3">
      <w:pPr>
        <w:ind w:left="360"/>
        <w:jc w:val="both"/>
        <w:rPr>
          <w:rFonts w:ascii="Arial" w:eastAsia="Times New Roman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eastAsia="Times New Roman" w:hAnsi="Arial" w:cs="Arial"/>
          <w:color w:val="0070C0"/>
          <w:sz w:val="20"/>
          <w:szCs w:val="20"/>
          <w:lang w:eastAsia="cs-CZ"/>
        </w:rPr>
        <w:t xml:space="preserve">Současně s vrácením nevyčerpaných peněžních prostředků zašle příjemce odboru sociálních věcí avízo na formuláři uvedeném v příloze č. 4a programu. V případě nevyčerpání peněžních prostředků z neinvestiční dotace 1 je příjemce povinen v avízu uvést výši vrácených peněžních prostředků připadající na část poskytnuté neinvestiční dotace 1 určené na platy, mzdy a jejich navýšení (včetně zákonných odvodů) a výši vrácených peněžních prostředků připadající na část poskytnuté neinvestiční dotace 1 určené na krytí personálních nákladů vzniklých v souvislosti s navýšením platů a mezd od 1. 1. 2021 dle nařízení vlády č. 603/2020 Sb., kterým se mění nařízení vlády č. 341/2017 Sb., o platových poměrech zaměstnanců ve veřejných službách a správě, ve znění pozdějších předpisů, a také na krytí personálních vícenákladů v souvislosti s realizací mimořádného dotačního titulu na odměny pro zaměstnance v sociálních službách.   </w:t>
      </w:r>
    </w:p>
    <w:p w14:paraId="1AB19000" w14:textId="77777777" w:rsidR="00382FB3" w:rsidRPr="006E3BA9" w:rsidRDefault="00382FB3" w:rsidP="00382FB3">
      <w:pPr>
        <w:ind w:left="360"/>
        <w:jc w:val="both"/>
        <w:rPr>
          <w:rFonts w:ascii="Arial" w:eastAsia="Times New Roman" w:hAnsi="Arial" w:cs="Arial"/>
          <w:color w:val="0070C0"/>
          <w:sz w:val="20"/>
          <w:szCs w:val="20"/>
          <w:lang w:eastAsia="cs-CZ"/>
        </w:rPr>
      </w:pPr>
      <w:r w:rsidRPr="006E3BA9">
        <w:rPr>
          <w:rFonts w:ascii="Arial" w:eastAsia="Times New Roman" w:hAnsi="Arial" w:cs="Arial"/>
          <w:color w:val="0070C0"/>
          <w:sz w:val="20"/>
          <w:szCs w:val="20"/>
          <w:lang w:eastAsia="cs-CZ"/>
        </w:rPr>
        <w:t>Nevyčerpané peněžní prostředky z dotace budou v případě příjemce, kterým je příspěvková organizace zřízená obcí, vráceny na účet poskytovatele formou bezhotovostního převodu prostřednictvím bankovního účtu zřizovatele uvedeného v záhlaví smlouvy, který zprostředkovává prostřednictvím svého rozpočtu vztah příjemce k rozpočtu poskytovatele.</w:t>
      </w:r>
    </w:p>
    <w:p w14:paraId="3C95D5C4" w14:textId="77777777" w:rsidR="00382FB3" w:rsidRPr="006E3BA9" w:rsidRDefault="00382FB3" w:rsidP="00AD0D93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color w:val="0070C0"/>
          <w:sz w:val="20"/>
          <w:szCs w:val="20"/>
        </w:rPr>
      </w:pPr>
    </w:p>
    <w:p w14:paraId="6FBAF4A2" w14:textId="77777777" w:rsidR="00CB16C6" w:rsidRPr="006E3BA9" w:rsidRDefault="00CB16C6">
      <w:pPr>
        <w:rPr>
          <w:rFonts w:ascii="Arial" w:hAnsi="Arial" w:cs="Arial"/>
          <w:color w:val="0070C0"/>
          <w:sz w:val="20"/>
          <w:szCs w:val="20"/>
        </w:rPr>
      </w:pPr>
    </w:p>
    <w:p w14:paraId="40F09882" w14:textId="5032F94F" w:rsidR="00AD0D93" w:rsidRPr="006E3BA9" w:rsidRDefault="00CB16C6">
      <w:pPr>
        <w:rPr>
          <w:rFonts w:ascii="Arial" w:hAnsi="Arial" w:cs="Arial"/>
          <w:color w:val="FF0000"/>
          <w:sz w:val="20"/>
          <w:szCs w:val="20"/>
        </w:rPr>
      </w:pPr>
      <w:r w:rsidRPr="006E3BA9">
        <w:rPr>
          <w:rFonts w:ascii="Arial" w:hAnsi="Arial" w:cs="Arial"/>
          <w:color w:val="FF0000"/>
          <w:sz w:val="20"/>
          <w:szCs w:val="20"/>
        </w:rPr>
        <w:t>Upozornění pro pobytové sociální služby:</w:t>
      </w:r>
    </w:p>
    <w:p w14:paraId="7EEB55BE" w14:textId="564F16E0" w:rsidR="00CB16C6" w:rsidRPr="006E3BA9" w:rsidRDefault="00CB16C6">
      <w:pPr>
        <w:rPr>
          <w:rFonts w:ascii="Arial" w:hAnsi="Arial" w:cs="Arial"/>
          <w:color w:val="0070C0"/>
          <w:sz w:val="20"/>
          <w:szCs w:val="20"/>
        </w:rPr>
      </w:pPr>
    </w:p>
    <w:p w14:paraId="0B3A8B7C" w14:textId="39A61CC5" w:rsidR="00CB16C6" w:rsidRPr="006E3BA9" w:rsidRDefault="00CB16C6" w:rsidP="00CB16C6">
      <w:pPr>
        <w:rPr>
          <w:rFonts w:ascii="Arial" w:hAnsi="Arial" w:cs="Arial"/>
          <w:color w:val="0070C0"/>
          <w:sz w:val="20"/>
          <w:szCs w:val="20"/>
          <w:u w:val="single"/>
        </w:rPr>
      </w:pPr>
      <w:r w:rsidRPr="006E3BA9">
        <w:rPr>
          <w:rFonts w:ascii="Arial" w:hAnsi="Arial" w:cs="Arial"/>
          <w:color w:val="0070C0"/>
          <w:sz w:val="20"/>
          <w:szCs w:val="20"/>
          <w:u w:val="single"/>
        </w:rPr>
        <w:t xml:space="preserve">V části C na novém listě - </w:t>
      </w:r>
      <w:r w:rsidRPr="006E3BA9">
        <w:rPr>
          <w:rFonts w:ascii="Arial" w:hAnsi="Arial" w:cs="Arial"/>
          <w:bCs/>
          <w:color w:val="0070C0"/>
          <w:sz w:val="20"/>
          <w:szCs w:val="20"/>
          <w:u w:val="single"/>
        </w:rPr>
        <w:t>Plnění indikátorů  - Výpočet vratek za nesplnění indikátorů</w:t>
      </w:r>
    </w:p>
    <w:p w14:paraId="332D82B1" w14:textId="4011F20A" w:rsidR="00CB16C6" w:rsidRPr="006E3BA9" w:rsidRDefault="00CB16C6">
      <w:pPr>
        <w:rPr>
          <w:rFonts w:ascii="Arial" w:hAnsi="Arial" w:cs="Arial"/>
          <w:color w:val="0070C0"/>
          <w:sz w:val="20"/>
          <w:szCs w:val="20"/>
        </w:rPr>
      </w:pPr>
    </w:p>
    <w:p w14:paraId="458A3D0F" w14:textId="6CFCDA6A" w:rsidR="00CB16C6" w:rsidRPr="006E3BA9" w:rsidRDefault="00CB16C6" w:rsidP="00CB16C6">
      <w:pPr>
        <w:numPr>
          <w:ilvl w:val="0"/>
          <w:numId w:val="14"/>
        </w:numPr>
        <w:rPr>
          <w:rFonts w:ascii="Arial" w:hAnsi="Arial" w:cs="Arial"/>
          <w:b/>
          <w:color w:val="0070C0"/>
          <w:sz w:val="20"/>
          <w:szCs w:val="20"/>
        </w:rPr>
      </w:pPr>
      <w:r w:rsidRPr="006E3BA9">
        <w:rPr>
          <w:rFonts w:ascii="Arial" w:hAnsi="Arial" w:cs="Arial"/>
          <w:b/>
          <w:bCs/>
          <w:color w:val="0070C0"/>
          <w:sz w:val="20"/>
          <w:szCs w:val="20"/>
        </w:rPr>
        <w:t>Indikátor 2</w:t>
      </w:r>
      <w:r w:rsidRPr="006E3BA9">
        <w:rPr>
          <w:rFonts w:ascii="Arial" w:hAnsi="Arial" w:cs="Arial"/>
          <w:color w:val="0070C0"/>
          <w:sz w:val="20"/>
          <w:szCs w:val="20"/>
        </w:rPr>
        <w:t xml:space="preserve"> (počet uživatelů/obložnost) vyplňuje se hodnota indikátoru 2 z přílohy č. 1 Veřejnoprávní smlouvy o poskytnutí dotace. </w:t>
      </w:r>
      <w:r w:rsidRPr="006E3BA9">
        <w:rPr>
          <w:rFonts w:ascii="Arial" w:hAnsi="Arial" w:cs="Arial"/>
          <w:b/>
          <w:color w:val="0070C0"/>
          <w:sz w:val="20"/>
          <w:szCs w:val="20"/>
        </w:rPr>
        <w:t>U indikátoru „obložnost“ uveďte pouze údaj, např. 65, označení „%“ neuvádějte!</w:t>
      </w:r>
    </w:p>
    <w:p w14:paraId="3888D973" w14:textId="750ADE07" w:rsidR="00CB16C6" w:rsidRPr="006E3BA9" w:rsidRDefault="00CB16C6" w:rsidP="00CB16C6">
      <w:pPr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CF496CC" w14:textId="77777777" w:rsidR="00CB16C6" w:rsidRPr="006E3BA9" w:rsidRDefault="00CB16C6" w:rsidP="00CB16C6">
      <w:pPr>
        <w:ind w:left="720"/>
        <w:rPr>
          <w:rFonts w:ascii="Arial" w:hAnsi="Arial" w:cs="Arial"/>
          <w:color w:val="0070C0"/>
          <w:sz w:val="20"/>
          <w:szCs w:val="20"/>
        </w:rPr>
      </w:pPr>
    </w:p>
    <w:p w14:paraId="6E980C5A" w14:textId="77777777" w:rsidR="00CB16C6" w:rsidRPr="006E3BA9" w:rsidRDefault="00CB16C6">
      <w:pPr>
        <w:rPr>
          <w:rFonts w:ascii="Arial" w:hAnsi="Arial" w:cs="Arial"/>
          <w:color w:val="0070C0"/>
          <w:sz w:val="20"/>
          <w:szCs w:val="20"/>
        </w:rPr>
      </w:pPr>
    </w:p>
    <w:sectPr w:rsidR="00CB16C6" w:rsidRPr="006E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C80"/>
    <w:multiLevelType w:val="hybridMultilevel"/>
    <w:tmpl w:val="6FDE0860"/>
    <w:lvl w:ilvl="0" w:tplc="A1049AF0">
      <w:start w:val="1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0F4"/>
    <w:multiLevelType w:val="hybridMultilevel"/>
    <w:tmpl w:val="8D1E57CC"/>
    <w:lvl w:ilvl="0" w:tplc="B2A0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6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2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8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4A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6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C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E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F2375"/>
    <w:multiLevelType w:val="hybridMultilevel"/>
    <w:tmpl w:val="E0303E94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4EA3"/>
    <w:multiLevelType w:val="hybridMultilevel"/>
    <w:tmpl w:val="35CC3680"/>
    <w:lvl w:ilvl="0" w:tplc="57CA45E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9BD"/>
    <w:multiLevelType w:val="hybridMultilevel"/>
    <w:tmpl w:val="C1F8DD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C0A2C"/>
    <w:multiLevelType w:val="hybridMultilevel"/>
    <w:tmpl w:val="C37C1C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1186"/>
    <w:multiLevelType w:val="hybridMultilevel"/>
    <w:tmpl w:val="D3A6290A"/>
    <w:lvl w:ilvl="0" w:tplc="8F202FC8">
      <w:start w:val="2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00B97"/>
    <w:multiLevelType w:val="hybridMultilevel"/>
    <w:tmpl w:val="CB226564"/>
    <w:lvl w:ilvl="0" w:tplc="41C6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B269E"/>
    <w:multiLevelType w:val="hybridMultilevel"/>
    <w:tmpl w:val="4AE21CD6"/>
    <w:lvl w:ilvl="0" w:tplc="EB18BF6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2390"/>
    <w:multiLevelType w:val="hybridMultilevel"/>
    <w:tmpl w:val="1A685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2181F"/>
    <w:multiLevelType w:val="hybridMultilevel"/>
    <w:tmpl w:val="03342EB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2766768"/>
    <w:multiLevelType w:val="hybridMultilevel"/>
    <w:tmpl w:val="996C4C66"/>
    <w:lvl w:ilvl="0" w:tplc="9760D97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72"/>
    <w:rsid w:val="00011AE7"/>
    <w:rsid w:val="000A1314"/>
    <w:rsid w:val="000A3C85"/>
    <w:rsid w:val="00114357"/>
    <w:rsid w:val="0014048F"/>
    <w:rsid w:val="001A19D4"/>
    <w:rsid w:val="001C05A9"/>
    <w:rsid w:val="001E392E"/>
    <w:rsid w:val="0020686D"/>
    <w:rsid w:val="00247D8A"/>
    <w:rsid w:val="002823E2"/>
    <w:rsid w:val="002E1669"/>
    <w:rsid w:val="00312D9C"/>
    <w:rsid w:val="003428DC"/>
    <w:rsid w:val="00360268"/>
    <w:rsid w:val="003753E5"/>
    <w:rsid w:val="00382FB3"/>
    <w:rsid w:val="003B52DE"/>
    <w:rsid w:val="004317C0"/>
    <w:rsid w:val="00493049"/>
    <w:rsid w:val="004A314D"/>
    <w:rsid w:val="004C3661"/>
    <w:rsid w:val="0053384E"/>
    <w:rsid w:val="005B14FC"/>
    <w:rsid w:val="00615707"/>
    <w:rsid w:val="006B6A99"/>
    <w:rsid w:val="006B7472"/>
    <w:rsid w:val="006E3BA9"/>
    <w:rsid w:val="007215A8"/>
    <w:rsid w:val="007332E7"/>
    <w:rsid w:val="007C34D5"/>
    <w:rsid w:val="00820514"/>
    <w:rsid w:val="008C4AF7"/>
    <w:rsid w:val="00910113"/>
    <w:rsid w:val="00970A9B"/>
    <w:rsid w:val="009A553E"/>
    <w:rsid w:val="009C0337"/>
    <w:rsid w:val="009D0819"/>
    <w:rsid w:val="009D0E92"/>
    <w:rsid w:val="009E2B18"/>
    <w:rsid w:val="00A57152"/>
    <w:rsid w:val="00AD0D93"/>
    <w:rsid w:val="00B0613C"/>
    <w:rsid w:val="00B5546A"/>
    <w:rsid w:val="00C04890"/>
    <w:rsid w:val="00C103D8"/>
    <w:rsid w:val="00CA2336"/>
    <w:rsid w:val="00CB16C6"/>
    <w:rsid w:val="00CC49AE"/>
    <w:rsid w:val="00CD2A0F"/>
    <w:rsid w:val="00CE3FFF"/>
    <w:rsid w:val="00D0567E"/>
    <w:rsid w:val="00D43885"/>
    <w:rsid w:val="00D71551"/>
    <w:rsid w:val="00DC58F4"/>
    <w:rsid w:val="00E54E49"/>
    <w:rsid w:val="00E56668"/>
    <w:rsid w:val="00EA5977"/>
    <w:rsid w:val="00EB05EC"/>
    <w:rsid w:val="00EF6BE0"/>
    <w:rsid w:val="00F957CF"/>
    <w:rsid w:val="00FD347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A85F"/>
  <w15:chartTrackingRefBased/>
  <w15:docId w15:val="{E37A0C21-FE33-4593-BEC5-39EBA675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4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347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D3472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1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D056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AE7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AE7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A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A1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/vyzva-005-op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www.esfcr.cz/pravidla-pro-zadatele-a-prijemce-op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sv.cz/web/cz/stanoviska-a-doporucene-postup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dotace.osv@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ce.osv@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7FEA7-BF2B-4F4C-B8CA-D40381BBF8C1}"/>
</file>

<file path=customXml/itemProps2.xml><?xml version="1.0" encoding="utf-8"?>
<ds:datastoreItem xmlns:ds="http://schemas.openxmlformats.org/officeDocument/2006/customXml" ds:itemID="{33A44D43-9EBF-4E18-88F4-C121B46859FA}"/>
</file>

<file path=customXml/itemProps3.xml><?xml version="1.0" encoding="utf-8"?>
<ds:datastoreItem xmlns:ds="http://schemas.openxmlformats.org/officeDocument/2006/customXml" ds:itemID="{F8165BA1-BF53-4BF2-98B7-EF18AC10C672}"/>
</file>

<file path=customXml/itemProps4.xml><?xml version="1.0" encoding="utf-8"?>
<ds:datastoreItem xmlns:ds="http://schemas.openxmlformats.org/officeDocument/2006/customXml" ds:itemID="{00623308-E403-4413-B4F8-84EFE3AD5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1900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Barbora</dc:creator>
  <cp:keywords/>
  <dc:description/>
  <cp:lastModifiedBy>Pilařová Jana</cp:lastModifiedBy>
  <cp:revision>4</cp:revision>
  <cp:lastPrinted>2021-12-23T08:43:00Z</cp:lastPrinted>
  <dcterms:created xsi:type="dcterms:W3CDTF">2022-01-07T11:50:00Z</dcterms:created>
  <dcterms:modified xsi:type="dcterms:W3CDTF">2022-01-07T11:58:00Z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